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A6" w:rsidRDefault="004A0BA6" w:rsidP="004A0BA6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</w:p>
    <w:p w:rsidR="004A0BA6" w:rsidRDefault="004A0BA6" w:rsidP="004A0BA6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 11»</w:t>
      </w:r>
    </w:p>
    <w:p w:rsidR="004A0BA6" w:rsidRPr="004A0BA6" w:rsidRDefault="004A0BA6" w:rsidP="004A0BA6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2015-2016 учебный год</w:t>
      </w:r>
    </w:p>
    <w:p w:rsidR="004A0BA6" w:rsidRDefault="004A0BA6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»  расположен по адресу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Бумагина</w:t>
      </w:r>
      <w:proofErr w:type="spell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типовом здании. В ДОУ функционирует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группы -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направленности. Списочный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 детей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отвечает всем требованиям к условиям и  режиму воспитания и обучения детей. В ДОУ  выполняются  санитарно-гигиеническое состояние, температурный и световой режим соответствует требованиям СанПиН. Здание снабжено системой центрального отопления, вентиляцией, водопроводом. Всё эксплуатационное оборудование ДОУ находится в исправном, рабочем состоянии. Участки, прилегающей территории закреплены за группами по возрастам, имеется отдельная физкультурная площадка, оборудованная игровыми конструкциями. В достаточном количестве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(размещены цветники, клумбы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6FC2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 работал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FC2" w:rsidRPr="00543BDF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учебном году деятельность дошкольного учреждения была направлена на повышение эффективности </w:t>
      </w:r>
      <w:proofErr w:type="spellStart"/>
      <w:r w:rsidRPr="00543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43B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с детьми дошкольного возраста и создание оптимальных условий для охраны и укрепления психического и физического здоровья детей, через решение следующих задач:</w:t>
      </w:r>
    </w:p>
    <w:p w:rsidR="00A06FC2" w:rsidRPr="00A06FC2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43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познавательно-речевое развитие через воспитания любви к окружающей природе, Родине, семье с учётом возрастных категорий воспитанников.</w:t>
      </w:r>
    </w:p>
    <w:p w:rsidR="00A06FC2" w:rsidRPr="00A06FC2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Совершенствовать и  обогащать знания педагогов по использованию </w:t>
      </w:r>
      <w:proofErr w:type="spellStart"/>
      <w:r w:rsidRPr="00A06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работе  с детьми.</w:t>
      </w:r>
    </w:p>
    <w:p w:rsidR="00A06FC2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C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Создавать условия для освоения и качественной реализации педагогами Федерального государственного стандарта дошкольного образования.</w:t>
      </w:r>
    </w:p>
    <w:p w:rsidR="00A06FC2" w:rsidRPr="00543BDF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задач были определены следующие направления деятельности:</w:t>
      </w:r>
    </w:p>
    <w:p w:rsidR="00A06FC2" w:rsidRPr="00543BDF" w:rsidRDefault="00A06FC2" w:rsidP="00A06FC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BDF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 детей в условиях оптимальной организации образовательного процесса, активизация жизнедеятельности дошкольников средствами физического воспитания;</w:t>
      </w:r>
    </w:p>
    <w:p w:rsidR="00A06FC2" w:rsidRPr="00543BDF" w:rsidRDefault="00A06FC2" w:rsidP="00A06FC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BD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здоровом и безопасном образе жизни;</w:t>
      </w:r>
    </w:p>
    <w:p w:rsidR="00A06FC2" w:rsidRPr="00543BDF" w:rsidRDefault="00A06FC2" w:rsidP="00A06FC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BDF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способностей дошкольников с целью эффективной общей психологической подготовки детей к школе как фактор успешной социализации;</w:t>
      </w:r>
    </w:p>
    <w:p w:rsidR="00A06FC2" w:rsidRPr="00543BDF" w:rsidRDefault="00A06FC2" w:rsidP="00A06FC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BDF">
        <w:rPr>
          <w:rFonts w:ascii="Times New Roman" w:eastAsia="Times New Roman" w:hAnsi="Times New Roman"/>
          <w:sz w:val="24"/>
          <w:szCs w:val="24"/>
          <w:lang w:eastAsia="ru-RU"/>
        </w:rPr>
        <w:t>Обеспечение построения педагогического процесса в соответствии с основной общеобразовательной программой дошкольного образования для групп общеразвивающей направленности муниципального казённого дошкольного образовательного учреждения «Детский сад № 11».</w:t>
      </w:r>
    </w:p>
    <w:p w:rsidR="00A06FC2" w:rsidRPr="00FF590B" w:rsidRDefault="00A06FC2" w:rsidP="00A06FC2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0B">
        <w:rPr>
          <w:rFonts w:ascii="Times New Roman" w:eastAsia="Calibri" w:hAnsi="Times New Roman" w:cs="Times New Roman"/>
          <w:sz w:val="24"/>
          <w:szCs w:val="24"/>
        </w:rPr>
        <w:t xml:space="preserve">Организации образовательного процесса в детском саду в соответствии с ФГОС </w:t>
      </w:r>
      <w:proofErr w:type="gramStart"/>
      <w:r w:rsidRPr="00FF590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FF5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6FC2" w:rsidRPr="00FF590B" w:rsidRDefault="00A06FC2" w:rsidP="00A06FC2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0B">
        <w:rPr>
          <w:rFonts w:ascii="Times New Roman" w:eastAsia="Calibri" w:hAnsi="Times New Roman" w:cs="Times New Roman"/>
          <w:sz w:val="24"/>
          <w:szCs w:val="24"/>
        </w:rPr>
        <w:t>Формирование навыков здорового образа жизни, ориентированных на возраст и уровень развития детей.</w:t>
      </w:r>
    </w:p>
    <w:p w:rsidR="00A06FC2" w:rsidRPr="00FF590B" w:rsidRDefault="00A06FC2" w:rsidP="00A06FC2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0B">
        <w:rPr>
          <w:rFonts w:ascii="Times New Roman" w:eastAsia="Calibri" w:hAnsi="Times New Roman" w:cs="Times New Roman"/>
          <w:sz w:val="24"/>
          <w:szCs w:val="24"/>
        </w:rPr>
        <w:t>Взаимодействие дошкольного учреждения и социальных институтов для успешного развития в реализации личности ребёнка в процессе социализации.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задачи решались в разных формах методической работы:</w:t>
      </w:r>
    </w:p>
    <w:p w:rsidR="00A06FC2" w:rsidRPr="00FF590B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0B">
        <w:rPr>
          <w:rFonts w:ascii="Times New Roman" w:eastAsia="Calibri" w:hAnsi="Times New Roman" w:cs="Times New Roman"/>
          <w:sz w:val="24"/>
          <w:szCs w:val="24"/>
        </w:rPr>
        <w:t>Педагогические советы;</w:t>
      </w:r>
    </w:p>
    <w:p w:rsidR="00A06FC2" w:rsidRPr="00FF590B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0B">
        <w:rPr>
          <w:rFonts w:ascii="Times New Roman" w:eastAsia="Calibri" w:hAnsi="Times New Roman" w:cs="Times New Roman"/>
          <w:sz w:val="24"/>
          <w:szCs w:val="24"/>
        </w:rPr>
        <w:t>Семинары-практикумы;</w:t>
      </w:r>
    </w:p>
    <w:p w:rsidR="00A06FC2" w:rsidRPr="00FF590B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0B">
        <w:rPr>
          <w:rFonts w:ascii="Times New Roman" w:eastAsia="Calibri" w:hAnsi="Times New Roman" w:cs="Times New Roman"/>
          <w:sz w:val="24"/>
          <w:szCs w:val="24"/>
        </w:rPr>
        <w:t>Консультации;</w:t>
      </w:r>
    </w:p>
    <w:p w:rsidR="00A06FC2" w:rsidRPr="00FF590B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0B">
        <w:rPr>
          <w:rFonts w:ascii="Times New Roman" w:eastAsia="Calibri" w:hAnsi="Times New Roman" w:cs="Times New Roman"/>
          <w:sz w:val="24"/>
          <w:szCs w:val="24"/>
        </w:rPr>
        <w:lastRenderedPageBreak/>
        <w:t>Открытые просмотры;</w:t>
      </w:r>
    </w:p>
    <w:p w:rsidR="00A06FC2" w:rsidRPr="00FF590B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0B">
        <w:rPr>
          <w:rFonts w:ascii="Times New Roman" w:eastAsia="Calibri" w:hAnsi="Times New Roman" w:cs="Times New Roman"/>
          <w:sz w:val="24"/>
          <w:szCs w:val="24"/>
        </w:rPr>
        <w:t>Деловые игры;</w:t>
      </w:r>
    </w:p>
    <w:p w:rsidR="00A06FC2" w:rsidRPr="00FF590B" w:rsidRDefault="00A06FC2" w:rsidP="00A06FC2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0B">
        <w:rPr>
          <w:rFonts w:ascii="Times New Roman" w:eastAsia="Calibri" w:hAnsi="Times New Roman" w:cs="Times New Roman"/>
          <w:sz w:val="24"/>
          <w:szCs w:val="24"/>
        </w:rPr>
        <w:t>Смотры-конкурсы;</w:t>
      </w:r>
    </w:p>
    <w:p w:rsidR="00A06FC2" w:rsidRPr="00C95D1A" w:rsidRDefault="00A06FC2" w:rsidP="00A06FC2">
      <w:pPr>
        <w:numPr>
          <w:ilvl w:val="0"/>
          <w:numId w:val="1"/>
        </w:numPr>
        <w:spacing w:after="200" w:line="276" w:lineRule="auto"/>
        <w:ind w:firstLine="63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90B">
        <w:rPr>
          <w:rFonts w:ascii="Times New Roman" w:eastAsia="Calibri" w:hAnsi="Times New Roman" w:cs="Times New Roman"/>
          <w:sz w:val="24"/>
          <w:szCs w:val="24"/>
        </w:rPr>
        <w:t>Самообразование (изучение опыта работы):</w:t>
      </w:r>
    </w:p>
    <w:p w:rsidR="00A06FC2" w:rsidRPr="00A06FC2" w:rsidRDefault="00A06FC2" w:rsidP="00A06F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06FC2">
        <w:rPr>
          <w:rFonts w:ascii="Times New Roman" w:eastAsia="Calibri" w:hAnsi="Times New Roman" w:cs="Times New Roman"/>
        </w:rPr>
        <w:t xml:space="preserve"> «Педагогическое мастерство – высший уровень педагогической деятельности».</w:t>
      </w:r>
    </w:p>
    <w:p w:rsidR="00A06FC2" w:rsidRPr="00A06FC2" w:rsidRDefault="00A06FC2" w:rsidP="00A06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ДОУ по сохранению и укреплению здоровья воспитанников»</w:t>
      </w:r>
    </w:p>
    <w:p w:rsidR="00A06FC2" w:rsidRPr="00A06FC2" w:rsidRDefault="00A06FC2" w:rsidP="00A06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двигательного режима воспитанников ДОУ».</w:t>
      </w:r>
    </w:p>
    <w:p w:rsidR="00A06FC2" w:rsidRPr="00A06FC2" w:rsidRDefault="00A06FC2" w:rsidP="00A06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«Патриотическое воспитание дошкольников».</w:t>
      </w:r>
    </w:p>
    <w:p w:rsidR="00A06FC2" w:rsidRPr="00FF590B" w:rsidRDefault="00A06FC2" w:rsidP="00A06F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работают с высоким профессиональным уровнем воспитатели и квалифицированные специалисты узкого профиля (музыкальный руководитель, учителя-логопеды, инструктор по физической культуре).</w:t>
      </w:r>
    </w:p>
    <w:p w:rsidR="00A06FC2" w:rsidRDefault="00A06FC2" w:rsidP="00A06FC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6FC2" w:rsidRPr="00FF590B" w:rsidRDefault="00A06FC2" w:rsidP="00A06FC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Образовательный уровень педагогических кадров.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3084"/>
      </w:tblGrid>
      <w:tr w:rsidR="00A06FC2" w:rsidRPr="00FF590B" w:rsidTr="003F0F71">
        <w:tc>
          <w:tcPr>
            <w:tcW w:w="959" w:type="dxa"/>
            <w:vAlign w:val="center"/>
          </w:tcPr>
          <w:p w:rsidR="00A06FC2" w:rsidRPr="00FF590B" w:rsidRDefault="00A06FC2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Всего</w:t>
            </w:r>
          </w:p>
        </w:tc>
        <w:tc>
          <w:tcPr>
            <w:tcW w:w="2693" w:type="dxa"/>
            <w:vAlign w:val="center"/>
          </w:tcPr>
          <w:p w:rsidR="00A06FC2" w:rsidRPr="00FF590B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proofErr w:type="gramStart"/>
            <w:r w:rsidRPr="0043184A">
              <w:rPr>
                <w:rFonts w:ascii="Calibri" w:eastAsia="Calibri" w:hAnsi="Calibri" w:cs="Times New Roman"/>
                <w:lang w:eastAsia="ru-RU"/>
              </w:rPr>
              <w:t>Другое+ прошедшие программу проф.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43184A">
              <w:rPr>
                <w:rFonts w:ascii="Calibri" w:eastAsia="Calibri" w:hAnsi="Calibri" w:cs="Times New Roman"/>
                <w:lang w:eastAsia="ru-RU"/>
              </w:rPr>
              <w:t>переподготовки  «Педагогика, психология)</w:t>
            </w:r>
            <w:proofErr w:type="gramEnd"/>
          </w:p>
        </w:tc>
        <w:tc>
          <w:tcPr>
            <w:tcW w:w="2835" w:type="dxa"/>
            <w:vAlign w:val="center"/>
          </w:tcPr>
          <w:p w:rsidR="00A06FC2" w:rsidRPr="00FF590B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3084" w:type="dxa"/>
            <w:vAlign w:val="center"/>
          </w:tcPr>
          <w:p w:rsidR="0043184A" w:rsidRPr="0043184A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3184A">
              <w:rPr>
                <w:rFonts w:ascii="Calibri" w:eastAsia="Calibri" w:hAnsi="Calibri" w:cs="Times New Roman"/>
                <w:lang w:eastAsia="ru-RU"/>
              </w:rPr>
              <w:t>Высшее педагогическое образование</w:t>
            </w:r>
          </w:p>
          <w:p w:rsidR="00A06FC2" w:rsidRPr="00FF590B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3184A">
              <w:rPr>
                <w:rFonts w:ascii="Calibri" w:eastAsia="Calibri" w:hAnsi="Calibri" w:cs="Times New Roman"/>
                <w:lang w:eastAsia="ru-RU"/>
              </w:rPr>
              <w:t>Законченное / не оконченное обучаются в настоящее время</w:t>
            </w:r>
          </w:p>
        </w:tc>
      </w:tr>
      <w:tr w:rsidR="00A06FC2" w:rsidRPr="00FF590B" w:rsidTr="003F0F71">
        <w:tc>
          <w:tcPr>
            <w:tcW w:w="959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</w:t>
            </w:r>
          </w:p>
        </w:tc>
        <w:tc>
          <w:tcPr>
            <w:tcW w:w="269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-</w:t>
            </w:r>
            <w:r w:rsidR="0043184A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6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2835" w:type="dxa"/>
          </w:tcPr>
          <w:p w:rsidR="00A06FC2" w:rsidRPr="00FF590B" w:rsidRDefault="0043184A" w:rsidP="0043184A">
            <w:pPr>
              <w:spacing w:after="200" w:line="360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 xml:space="preserve"> -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29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3084" w:type="dxa"/>
          </w:tcPr>
          <w:p w:rsidR="00A06FC2" w:rsidRPr="00FF590B" w:rsidRDefault="00A06FC2" w:rsidP="004318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</w:t>
            </w:r>
            <w:r w:rsidR="0043184A">
              <w:rPr>
                <w:rFonts w:ascii="Calibri" w:eastAsia="Calibri" w:hAnsi="Calibri" w:cs="Times New Roman"/>
                <w:lang w:eastAsia="ru-RU"/>
              </w:rPr>
              <w:t xml:space="preserve">/ 1 </w:t>
            </w:r>
            <w:r w:rsidR="003B18D4">
              <w:rPr>
                <w:rFonts w:ascii="Calibri" w:eastAsia="Calibri" w:hAnsi="Calibri" w:cs="Times New Roman"/>
                <w:lang w:eastAsia="ru-RU"/>
              </w:rPr>
              <w:t>-</w:t>
            </w:r>
            <w:r w:rsidR="0043184A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3B18D4">
              <w:rPr>
                <w:rFonts w:ascii="Calibri" w:eastAsia="Calibri" w:hAnsi="Calibri" w:cs="Times New Roman"/>
                <w:lang w:eastAsia="ru-RU"/>
              </w:rPr>
              <w:t>59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%</w:t>
            </w:r>
            <w:r w:rsidR="0043184A">
              <w:rPr>
                <w:rFonts w:ascii="Calibri" w:eastAsia="Calibri" w:hAnsi="Calibri" w:cs="Times New Roman"/>
                <w:lang w:eastAsia="ru-RU"/>
              </w:rPr>
              <w:t>/ 6%</w:t>
            </w:r>
          </w:p>
        </w:tc>
      </w:tr>
    </w:tbl>
    <w:p w:rsidR="00A06FC2" w:rsidRDefault="00A06FC2" w:rsidP="00A06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FF590B" w:rsidRDefault="00A06FC2" w:rsidP="00883F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создаёт условия для повышения профессионального уровня  педагогов.</w:t>
      </w:r>
    </w:p>
    <w:p w:rsidR="00A06FC2" w:rsidRPr="00FF590B" w:rsidRDefault="00A06FC2" w:rsidP="00883F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прошли курсовую переподготовку </w:t>
      </w:r>
      <w:r w:rsid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– </w:t>
      </w:r>
      <w:r w:rsid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06FC2" w:rsidRDefault="00A06FC2" w:rsidP="00A06FC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6FC2" w:rsidRPr="00883FAA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6FC2" w:rsidRPr="00883FAA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3F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педагогических работников, прошедших аттестацию и имеющих квалификационную категорию.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095"/>
        <w:gridCol w:w="1304"/>
        <w:gridCol w:w="1570"/>
        <w:gridCol w:w="2800"/>
      </w:tblGrid>
      <w:tr w:rsidR="00427088" w:rsidRPr="00FF590B" w:rsidTr="003F0F71">
        <w:tc>
          <w:tcPr>
            <w:tcW w:w="817" w:type="dxa"/>
            <w:vAlign w:val="center"/>
          </w:tcPr>
          <w:p w:rsidR="00427088" w:rsidRPr="00FF590B" w:rsidRDefault="00427088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427088" w:rsidRDefault="00CF3077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Прошли аттестацию</w:t>
            </w:r>
          </w:p>
          <w:p w:rsidR="003F0F71" w:rsidRPr="00FF590B" w:rsidRDefault="003F0F71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в 2015-2016 уч. г.</w:t>
            </w:r>
          </w:p>
        </w:tc>
        <w:tc>
          <w:tcPr>
            <w:tcW w:w="1095" w:type="dxa"/>
            <w:vAlign w:val="center"/>
          </w:tcPr>
          <w:p w:rsidR="00427088" w:rsidRPr="00FF590B" w:rsidRDefault="00427088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Высшая</w:t>
            </w:r>
          </w:p>
        </w:tc>
        <w:tc>
          <w:tcPr>
            <w:tcW w:w="1304" w:type="dxa"/>
            <w:vAlign w:val="center"/>
          </w:tcPr>
          <w:p w:rsidR="00427088" w:rsidRPr="00FF590B" w:rsidRDefault="00427088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Первая</w:t>
            </w:r>
          </w:p>
        </w:tc>
        <w:tc>
          <w:tcPr>
            <w:tcW w:w="1570" w:type="dxa"/>
            <w:vAlign w:val="center"/>
          </w:tcPr>
          <w:p w:rsidR="00427088" w:rsidRPr="00FF590B" w:rsidRDefault="00A45917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Соответствие</w:t>
            </w:r>
            <w:r w:rsidR="00427088">
              <w:rPr>
                <w:rFonts w:ascii="Calibri" w:eastAsia="Calibri" w:hAnsi="Calibri" w:cs="Times New Roman"/>
                <w:lang w:eastAsia="ru-RU"/>
              </w:rPr>
              <w:t xml:space="preserve"> заним</w:t>
            </w:r>
            <w:r>
              <w:rPr>
                <w:rFonts w:ascii="Calibri" w:eastAsia="Calibri" w:hAnsi="Calibri" w:cs="Times New Roman"/>
                <w:lang w:eastAsia="ru-RU"/>
              </w:rPr>
              <w:t>аемой должности</w:t>
            </w:r>
          </w:p>
        </w:tc>
        <w:tc>
          <w:tcPr>
            <w:tcW w:w="2800" w:type="dxa"/>
            <w:vAlign w:val="center"/>
          </w:tcPr>
          <w:p w:rsidR="003F0F71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3184A">
              <w:rPr>
                <w:rFonts w:ascii="Calibri" w:eastAsia="Calibri" w:hAnsi="Calibri" w:cs="Times New Roman"/>
                <w:lang w:eastAsia="ru-RU"/>
              </w:rPr>
              <w:t>Не аттестованы</w:t>
            </w:r>
          </w:p>
          <w:p w:rsidR="00427088" w:rsidRPr="00427088" w:rsidRDefault="0043184A" w:rsidP="003F0F71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3184A">
              <w:rPr>
                <w:rFonts w:ascii="Calibri" w:eastAsia="Calibri" w:hAnsi="Calibri" w:cs="Times New Roman"/>
                <w:lang w:eastAsia="ru-RU"/>
              </w:rPr>
              <w:t>(работают до 2 лет, выход с д\о до 2 лет)</w:t>
            </w:r>
          </w:p>
        </w:tc>
      </w:tr>
      <w:tr w:rsidR="00427088" w:rsidRPr="00FF590B" w:rsidTr="003F0F71">
        <w:tc>
          <w:tcPr>
            <w:tcW w:w="817" w:type="dxa"/>
          </w:tcPr>
          <w:p w:rsidR="00427088" w:rsidRPr="00FF590B" w:rsidRDefault="00427088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1985" w:type="dxa"/>
          </w:tcPr>
          <w:p w:rsidR="00427088" w:rsidRPr="00FF590B" w:rsidRDefault="00427088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29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1095" w:type="dxa"/>
          </w:tcPr>
          <w:p w:rsidR="00427088" w:rsidRPr="00FF590B" w:rsidRDefault="00427088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6%</w:t>
            </w:r>
          </w:p>
        </w:tc>
        <w:tc>
          <w:tcPr>
            <w:tcW w:w="1304" w:type="dxa"/>
          </w:tcPr>
          <w:p w:rsidR="00427088" w:rsidRPr="00FF590B" w:rsidRDefault="00427088" w:rsidP="003B18D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6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35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%</w:t>
            </w:r>
          </w:p>
        </w:tc>
        <w:tc>
          <w:tcPr>
            <w:tcW w:w="1570" w:type="dxa"/>
          </w:tcPr>
          <w:p w:rsidR="00427088" w:rsidRPr="00FF590B" w:rsidRDefault="00427088" w:rsidP="0042708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7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41%</w:t>
            </w:r>
          </w:p>
        </w:tc>
        <w:tc>
          <w:tcPr>
            <w:tcW w:w="2800" w:type="dxa"/>
          </w:tcPr>
          <w:p w:rsidR="00427088" w:rsidRDefault="00427088" w:rsidP="0042708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3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-</w:t>
            </w:r>
            <w:r w:rsidR="00A45917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t>18%</w:t>
            </w:r>
          </w:p>
        </w:tc>
      </w:tr>
    </w:tbl>
    <w:p w:rsidR="00883FAA" w:rsidRDefault="00883FAA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FF590B" w:rsidRDefault="00883FAA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883FAA">
        <w:t xml:space="preserve"> </w:t>
      </w:r>
      <w:r w:rsidRPr="00883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качественный состав педагогических кадров способствует внедрению в образовательный процесс ДОУ современных образовательных технологий, использованию новых форм организации и проведения занятий, индивидуальной работы с детьми, повышению профессиональной культуры самих педагогов.</w:t>
      </w:r>
    </w:p>
    <w:p w:rsidR="00A06FC2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3FAA" w:rsidRPr="005C05FB" w:rsidRDefault="00A06FC2" w:rsidP="00883FA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0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педагогов ДОУ в городских и областных мероприятиях: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A06FC2" w:rsidRPr="00FF590B" w:rsidTr="00A54FB7">
        <w:tc>
          <w:tcPr>
            <w:tcW w:w="5954" w:type="dxa"/>
          </w:tcPr>
          <w:p w:rsidR="00A06FC2" w:rsidRPr="00C95D1A" w:rsidRDefault="00A06FC2" w:rsidP="00A54FB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Мероприятия </w:t>
            </w:r>
          </w:p>
        </w:tc>
        <w:tc>
          <w:tcPr>
            <w:tcW w:w="3402" w:type="dxa"/>
          </w:tcPr>
          <w:p w:rsidR="00A06FC2" w:rsidRPr="00C95D1A" w:rsidRDefault="00A06FC2" w:rsidP="00A54FB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Педагоги </w:t>
            </w:r>
          </w:p>
        </w:tc>
      </w:tr>
      <w:tr w:rsidR="00A54FB7" w:rsidRPr="00FF590B" w:rsidTr="00A54FB7">
        <w:tc>
          <w:tcPr>
            <w:tcW w:w="5954" w:type="dxa"/>
          </w:tcPr>
          <w:p w:rsidR="00A54FB7" w:rsidRPr="00C95D1A" w:rsidRDefault="00A54FB7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391437">
              <w:rPr>
                <w:rFonts w:ascii="Times New Roman" w:eastAsia="Calibri" w:hAnsi="Times New Roman" w:cs="Times New Roman"/>
                <w:lang w:eastAsia="ru-RU"/>
              </w:rPr>
              <w:t>оказ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непосредственно-образовательной деятельности </w:t>
            </w:r>
            <w:r w:rsidRPr="00C95D1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познавательному развитию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«Поможем золотой рыбке» 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городское МО педагогов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средних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групп.</w:t>
            </w:r>
          </w:p>
        </w:tc>
        <w:tc>
          <w:tcPr>
            <w:tcW w:w="3402" w:type="dxa"/>
            <w:vMerge w:val="restart"/>
          </w:tcPr>
          <w:p w:rsidR="00A54FB7" w:rsidRPr="00C95D1A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Воробьева Елена Петровна</w:t>
            </w:r>
          </w:p>
        </w:tc>
      </w:tr>
      <w:tr w:rsidR="00A54FB7" w:rsidRPr="00FF590B" w:rsidTr="00A54FB7">
        <w:tc>
          <w:tcPr>
            <w:tcW w:w="5954" w:type="dxa"/>
          </w:tcPr>
          <w:p w:rsidR="00A54FB7" w:rsidRPr="00C95D1A" w:rsidRDefault="00A54FB7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391437">
              <w:rPr>
                <w:rFonts w:ascii="Times New Roman" w:eastAsia="Calibri" w:hAnsi="Times New Roman" w:cs="Times New Roman"/>
                <w:lang w:eastAsia="ru-RU"/>
              </w:rPr>
              <w:t>оказ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непосредственно-образовательной деятельности </w:t>
            </w:r>
            <w:r w:rsidRPr="00C95D1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художественно-эстетическому развитию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«Путешествие в страну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Рисовандию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городское МО педагогов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средних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групп.</w:t>
            </w:r>
          </w:p>
        </w:tc>
        <w:tc>
          <w:tcPr>
            <w:tcW w:w="3402" w:type="dxa"/>
            <w:vMerge/>
          </w:tcPr>
          <w:p w:rsidR="00A54FB7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4FB7" w:rsidRPr="00FF590B" w:rsidTr="00A54FB7">
        <w:tc>
          <w:tcPr>
            <w:tcW w:w="5954" w:type="dxa"/>
          </w:tcPr>
          <w:p w:rsidR="00A54FB7" w:rsidRPr="00C95D1A" w:rsidRDefault="00A54FB7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391437">
              <w:rPr>
                <w:rFonts w:ascii="Times New Roman" w:eastAsia="Calibri" w:hAnsi="Times New Roman" w:cs="Times New Roman"/>
                <w:lang w:eastAsia="ru-RU"/>
              </w:rPr>
              <w:t>оказ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непосредственно-образовательной деятельности </w:t>
            </w:r>
            <w:r w:rsidRPr="00C95D1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познавательному развитию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«Поможем золотой рыбке» областные курсы переподготовки воспитателей.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A50208"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 w:rsidR="00A50208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A54FB7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4FB7" w:rsidRPr="00FF590B" w:rsidTr="00A54FB7">
        <w:tc>
          <w:tcPr>
            <w:tcW w:w="5954" w:type="dxa"/>
          </w:tcPr>
          <w:p w:rsidR="00A54FB7" w:rsidRPr="00C95D1A" w:rsidRDefault="00A54FB7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391437">
              <w:rPr>
                <w:rFonts w:ascii="Times New Roman" w:eastAsia="Calibri" w:hAnsi="Times New Roman" w:cs="Times New Roman"/>
                <w:lang w:eastAsia="ru-RU"/>
              </w:rPr>
              <w:t>оказ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непосредственно-образовательной деятельности </w:t>
            </w:r>
            <w:r w:rsidRPr="00C95D1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социально-</w:t>
            </w:r>
            <w:r w:rsidR="00BE4ECA">
              <w:rPr>
                <w:rFonts w:ascii="Times New Roman" w:hAnsi="Times New Roman" w:cs="Times New Roman"/>
              </w:rPr>
              <w:t>личностному</w:t>
            </w:r>
            <w:r>
              <w:rPr>
                <w:rFonts w:ascii="Times New Roman" w:hAnsi="Times New Roman" w:cs="Times New Roman"/>
              </w:rPr>
              <w:t xml:space="preserve"> развитию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«Моя семья» областные курсы переподготовки воспитателей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A50208"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 w:rsidR="00A50208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A50208"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A54FB7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883FAA">
        <w:trPr>
          <w:trHeight w:val="840"/>
        </w:trPr>
        <w:tc>
          <w:tcPr>
            <w:tcW w:w="5954" w:type="dxa"/>
          </w:tcPr>
          <w:p w:rsidR="00565B18" w:rsidRPr="00C95D1A" w:rsidRDefault="00565B18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Выступление и обобщение опыта работы по теме «Детское экспериментирование – путь к познанию окружающего мира» городское МО воспитателей средних групп.</w:t>
            </w:r>
          </w:p>
        </w:tc>
        <w:tc>
          <w:tcPr>
            <w:tcW w:w="3402" w:type="dxa"/>
            <w:vMerge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4FB7" w:rsidRPr="00FF590B" w:rsidTr="00A54FB7">
        <w:tc>
          <w:tcPr>
            <w:tcW w:w="5954" w:type="dxa"/>
          </w:tcPr>
          <w:p w:rsidR="00A54FB7" w:rsidRDefault="00A54FB7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</w:tc>
        <w:tc>
          <w:tcPr>
            <w:tcW w:w="3402" w:type="dxa"/>
            <w:vMerge/>
          </w:tcPr>
          <w:p w:rsidR="00A54FB7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4FB7" w:rsidRPr="00FF590B" w:rsidTr="00A54FB7">
        <w:tc>
          <w:tcPr>
            <w:tcW w:w="5954" w:type="dxa"/>
          </w:tcPr>
          <w:p w:rsidR="00A54FB7" w:rsidRDefault="00A54FB7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ормушек «Покормите птиц зимой!»,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lang w:eastAsia="ru-RU"/>
              </w:rPr>
              <w:t>(1 место)</w:t>
            </w:r>
          </w:p>
        </w:tc>
        <w:tc>
          <w:tcPr>
            <w:tcW w:w="3402" w:type="dxa"/>
            <w:vMerge/>
          </w:tcPr>
          <w:p w:rsidR="00A54FB7" w:rsidRDefault="00A54FB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565B18">
        <w:trPr>
          <w:trHeight w:val="654"/>
        </w:trPr>
        <w:tc>
          <w:tcPr>
            <w:tcW w:w="5954" w:type="dxa"/>
          </w:tcPr>
          <w:p w:rsidR="00565B18" w:rsidRDefault="00565B18" w:rsidP="00565B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Просмотр </w:t>
            </w:r>
            <w:r>
              <w:rPr>
                <w:rFonts w:ascii="Times New Roman" w:eastAsia="Calibri" w:hAnsi="Times New Roman" w:cs="Times New Roman"/>
                <w:lang w:eastAsia="ru-RU"/>
              </w:rPr>
              <w:t>гимнастики «пробуждения» и закаливания городское МО воспитателей средних групп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Лужанская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Нина Андреевна</w:t>
            </w: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</w:tc>
        <w:tc>
          <w:tcPr>
            <w:tcW w:w="3402" w:type="dxa"/>
            <w:vMerge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зимой!»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565B18">
        <w:trPr>
          <w:trHeight w:val="862"/>
        </w:trPr>
        <w:tc>
          <w:tcPr>
            <w:tcW w:w="5954" w:type="dxa"/>
          </w:tcPr>
          <w:p w:rsidR="00391437" w:rsidRPr="00C95D1A" w:rsidRDefault="00565B18" w:rsidP="00565B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городском конкурсе профессионального мастерства: показ непосредственно образовательной деятельности по речевому развитию «Мой город – Биробиджан» (лауреат)</w:t>
            </w:r>
          </w:p>
        </w:tc>
        <w:tc>
          <w:tcPr>
            <w:tcW w:w="3402" w:type="dxa"/>
            <w:vMerge w:val="restart"/>
          </w:tcPr>
          <w:p w:rsidR="00565B18" w:rsidRPr="00C95D1A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Шейко Оксана 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Викторовна</w:t>
            </w:r>
          </w:p>
        </w:tc>
      </w:tr>
      <w:tr w:rsidR="00391437" w:rsidRPr="00FF590B" w:rsidTr="00565B18">
        <w:trPr>
          <w:trHeight w:val="862"/>
        </w:trPr>
        <w:tc>
          <w:tcPr>
            <w:tcW w:w="5954" w:type="dxa"/>
          </w:tcPr>
          <w:p w:rsidR="00391437" w:rsidRDefault="00391437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оказ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непосредственно-образовательной деятельности </w:t>
            </w:r>
            <w:r w:rsidRPr="00C95D1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социально-личностному развитию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«Путешествие в страну Добра» областные курсы переподготовки воспитателей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. (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391437" w:rsidRDefault="00391437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Выступление из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 xml:space="preserve"> опыта работы на тему «</w:t>
            </w:r>
            <w:r>
              <w:rPr>
                <w:rFonts w:ascii="Times New Roman" w:eastAsia="Calibri" w:hAnsi="Times New Roman" w:cs="Times New Roman"/>
                <w:lang w:eastAsia="ru-RU"/>
              </w:rPr>
              <w:t>Формирование нравственно-патриотических чувств у дошкольников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A50208" w:rsidRPr="00982411" w:rsidRDefault="00A50208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областные курсы повышения квалификации воспитателей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</w:tc>
        <w:tc>
          <w:tcPr>
            <w:tcW w:w="3402" w:type="dxa"/>
            <w:vMerge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42708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творческих работ «Защита Отечества – долг каждого гражданина!»</w:t>
            </w:r>
          </w:p>
        </w:tc>
        <w:tc>
          <w:tcPr>
            <w:tcW w:w="3402" w:type="dxa"/>
            <w:vMerge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A5020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творческих работ, проводимых МЧС России по ЕАО.</w:t>
            </w:r>
          </w:p>
        </w:tc>
        <w:tc>
          <w:tcPr>
            <w:tcW w:w="3402" w:type="dxa"/>
            <w:vMerge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</w:tc>
        <w:tc>
          <w:tcPr>
            <w:tcW w:w="3402" w:type="dxa"/>
            <w:vMerge w:val="restart"/>
          </w:tcPr>
          <w:p w:rsidR="00A50208" w:rsidRPr="00C95D1A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Пирогова Людмила Сергеевна</w:t>
            </w: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50208" w:rsidRPr="00FF590B" w:rsidTr="00A54FB7">
        <w:tc>
          <w:tcPr>
            <w:tcW w:w="5954" w:type="dxa"/>
          </w:tcPr>
          <w:p w:rsidR="00A50208" w:rsidRDefault="00A5020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творческих работ «Защита Отечества – долг каждого гражданина!»</w:t>
            </w:r>
          </w:p>
        </w:tc>
        <w:tc>
          <w:tcPr>
            <w:tcW w:w="3402" w:type="dxa"/>
            <w:vMerge/>
          </w:tcPr>
          <w:p w:rsidR="00A50208" w:rsidRDefault="00A5020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CF3077">
        <w:trPr>
          <w:trHeight w:val="1175"/>
        </w:trPr>
        <w:tc>
          <w:tcPr>
            <w:tcW w:w="5954" w:type="dxa"/>
          </w:tcPr>
          <w:p w:rsidR="00565B18" w:rsidRPr="00982411" w:rsidRDefault="00565B18" w:rsidP="00CF307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непосредственно-образовательной деятельности по познавательному развитию (математика) «Поможем Элле добраться домой»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областные курсы переподготовки воспитателей.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 w:val="restart"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Гоголова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Вера Захаровна</w:t>
            </w:r>
          </w:p>
        </w:tc>
      </w:tr>
      <w:tr w:rsidR="00AC4282" w:rsidRPr="00FF590B" w:rsidTr="00A54FB7">
        <w:tc>
          <w:tcPr>
            <w:tcW w:w="5954" w:type="dxa"/>
          </w:tcPr>
          <w:p w:rsidR="00CF3077" w:rsidRDefault="00AC4282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  <w:p w:rsidR="00AC4282" w:rsidRDefault="00CF3077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(1,2,3 место)</w:t>
            </w:r>
          </w:p>
        </w:tc>
        <w:tc>
          <w:tcPr>
            <w:tcW w:w="3402" w:type="dxa"/>
            <w:vMerge/>
          </w:tcPr>
          <w:p w:rsidR="00AC4282" w:rsidRDefault="00AC428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4282" w:rsidRPr="00FF590B" w:rsidTr="00A54FB7">
        <w:tc>
          <w:tcPr>
            <w:tcW w:w="5954" w:type="dxa"/>
          </w:tcPr>
          <w:p w:rsidR="00AC4282" w:rsidRDefault="00AC4282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/>
          </w:tcPr>
          <w:p w:rsidR="00AC4282" w:rsidRDefault="00AC428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4282" w:rsidRPr="00FF590B" w:rsidTr="00A54FB7">
        <w:tc>
          <w:tcPr>
            <w:tcW w:w="5954" w:type="dxa"/>
          </w:tcPr>
          <w:p w:rsidR="00AC4282" w:rsidRDefault="00AC4282" w:rsidP="00AC428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областном </w:t>
            </w:r>
            <w:r w:rsidR="00391437">
              <w:rPr>
                <w:rFonts w:ascii="Times New Roman" w:hAnsi="Times New Roman" w:cs="Times New Roman"/>
              </w:rPr>
              <w:t xml:space="preserve">экологическом </w:t>
            </w:r>
            <w:r>
              <w:rPr>
                <w:rFonts w:ascii="Times New Roman" w:hAnsi="Times New Roman" w:cs="Times New Roman"/>
              </w:rPr>
              <w:t>конкурсе плакатов «Защитим лес от пожара!»</w:t>
            </w:r>
            <w:r w:rsidR="00391437">
              <w:rPr>
                <w:rFonts w:ascii="Times New Roman" w:hAnsi="Times New Roman" w:cs="Times New Roman"/>
              </w:rPr>
              <w:t>, проводимом заповедником «</w:t>
            </w:r>
            <w:proofErr w:type="spellStart"/>
            <w:r w:rsidR="00391437">
              <w:rPr>
                <w:rFonts w:ascii="Times New Roman" w:hAnsi="Times New Roman" w:cs="Times New Roman"/>
              </w:rPr>
              <w:t>Бастак</w:t>
            </w:r>
            <w:proofErr w:type="spellEnd"/>
            <w:r w:rsidR="0039143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(победитель)</w:t>
            </w:r>
          </w:p>
        </w:tc>
        <w:tc>
          <w:tcPr>
            <w:tcW w:w="3402" w:type="dxa"/>
            <w:vMerge/>
          </w:tcPr>
          <w:p w:rsidR="00AC4282" w:rsidRDefault="00AC428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A54FB7">
        <w:tc>
          <w:tcPr>
            <w:tcW w:w="5954" w:type="dxa"/>
          </w:tcPr>
          <w:p w:rsidR="00CF3077" w:rsidRDefault="00565B1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«Пасхальная радость»</w:t>
            </w:r>
          </w:p>
          <w:p w:rsidR="00565B18" w:rsidRDefault="00CF3077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(1,2,3 место)</w:t>
            </w:r>
          </w:p>
        </w:tc>
        <w:tc>
          <w:tcPr>
            <w:tcW w:w="3402" w:type="dxa"/>
            <w:vMerge w:val="restart"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Гоголова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Татьяна Евгеньевна</w:t>
            </w:r>
          </w:p>
        </w:tc>
      </w:tr>
      <w:tr w:rsidR="00565B18" w:rsidRPr="00FF590B" w:rsidTr="00A54FB7">
        <w:tc>
          <w:tcPr>
            <w:tcW w:w="5954" w:type="dxa"/>
          </w:tcPr>
          <w:p w:rsidR="00565B18" w:rsidRDefault="00565B18" w:rsidP="00B5777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65B18" w:rsidRPr="00FF590B" w:rsidTr="00A54FB7">
        <w:tc>
          <w:tcPr>
            <w:tcW w:w="5954" w:type="dxa"/>
          </w:tcPr>
          <w:p w:rsidR="00565B18" w:rsidRDefault="00391437" w:rsidP="00CF307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экологическом конкурсе плакатов «Защитим лес от пожара!», проводимо</w:t>
            </w:r>
            <w:r w:rsidR="00CF3077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заповедником «</w:t>
            </w:r>
            <w:proofErr w:type="spellStart"/>
            <w:r>
              <w:rPr>
                <w:rFonts w:ascii="Times New Roman" w:hAnsi="Times New Roman" w:cs="Times New Roman"/>
              </w:rPr>
              <w:t>Бастак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565B18">
              <w:rPr>
                <w:rFonts w:ascii="Times New Roman" w:hAnsi="Times New Roman" w:cs="Times New Roman"/>
              </w:rPr>
              <w:t>(победитель)</w:t>
            </w:r>
          </w:p>
        </w:tc>
        <w:tc>
          <w:tcPr>
            <w:tcW w:w="3402" w:type="dxa"/>
            <w:vMerge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27088" w:rsidRPr="00FF590B" w:rsidTr="00A54FB7">
        <w:tc>
          <w:tcPr>
            <w:tcW w:w="5954" w:type="dxa"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Подготовка команды ДОУ и семейной команды  ДОУ к участию в спартакиаде муниципальных дошкольных учреждений и городских соревнованиях «Папа, мама, я -  спортивная семья»</w:t>
            </w:r>
          </w:p>
        </w:tc>
        <w:tc>
          <w:tcPr>
            <w:tcW w:w="3402" w:type="dxa"/>
            <w:vMerge w:val="restart"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Чайкина Надежда Александровна</w:t>
            </w:r>
          </w:p>
        </w:tc>
      </w:tr>
      <w:tr w:rsidR="00427088" w:rsidRPr="00FF590B" w:rsidTr="00A54FB7">
        <w:tc>
          <w:tcPr>
            <w:tcW w:w="5954" w:type="dxa"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Подготовка команды ДОУ  к участию в городских соревнованиях «Веселые старты на воде»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 xml:space="preserve"> (2 место)</w:t>
            </w:r>
          </w:p>
        </w:tc>
        <w:tc>
          <w:tcPr>
            <w:tcW w:w="3402" w:type="dxa"/>
            <w:vMerge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27088" w:rsidRPr="00FF590B" w:rsidTr="00CF3077">
        <w:trPr>
          <w:trHeight w:val="573"/>
        </w:trPr>
        <w:tc>
          <w:tcPr>
            <w:tcW w:w="5954" w:type="dxa"/>
          </w:tcPr>
          <w:p w:rsidR="00427088" w:rsidRPr="00C95D1A" w:rsidRDefault="00565B18" w:rsidP="00565B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Подготовка команды ДОУ  к участию в городски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х соревнованиях «Веселые старты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vMerge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27088" w:rsidRPr="00FF590B" w:rsidTr="00A54FB7">
        <w:tc>
          <w:tcPr>
            <w:tcW w:w="5954" w:type="dxa"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Участие в городском конкурсе методических материалов.</w:t>
            </w:r>
          </w:p>
        </w:tc>
        <w:tc>
          <w:tcPr>
            <w:tcW w:w="3402" w:type="dxa"/>
          </w:tcPr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Воробьева Е. П.</w:t>
            </w:r>
          </w:p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Шестакова С. В.</w:t>
            </w:r>
          </w:p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95D1A">
              <w:rPr>
                <w:rFonts w:ascii="Times New Roman" w:eastAsia="Calibri" w:hAnsi="Times New Roman" w:cs="Times New Roman"/>
                <w:lang w:eastAsia="ru-RU"/>
              </w:rPr>
              <w:t>Гоголова</w:t>
            </w:r>
            <w:proofErr w:type="spellEnd"/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В. З.</w:t>
            </w:r>
          </w:p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Шейко О. В.</w:t>
            </w:r>
          </w:p>
          <w:p w:rsidR="00427088" w:rsidRPr="00C95D1A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95D1A">
              <w:rPr>
                <w:rFonts w:ascii="Times New Roman" w:eastAsia="Calibri" w:hAnsi="Times New Roman" w:cs="Times New Roman"/>
                <w:lang w:eastAsia="ru-RU"/>
              </w:rPr>
              <w:t>Лужанска</w:t>
            </w:r>
            <w:r w:rsidR="00565B18">
              <w:rPr>
                <w:rFonts w:ascii="Times New Roman" w:eastAsia="Calibri" w:hAnsi="Times New Roman" w:cs="Times New Roman"/>
                <w:lang w:eastAsia="ru-RU"/>
              </w:rPr>
              <w:t>я</w:t>
            </w:r>
            <w:proofErr w:type="spellEnd"/>
            <w:r w:rsidR="00565B18">
              <w:rPr>
                <w:rFonts w:ascii="Times New Roman" w:eastAsia="Calibri" w:hAnsi="Times New Roman" w:cs="Times New Roman"/>
                <w:lang w:eastAsia="ru-RU"/>
              </w:rPr>
              <w:t xml:space="preserve"> Н. А.</w:t>
            </w:r>
          </w:p>
        </w:tc>
      </w:tr>
      <w:tr w:rsidR="00565B18" w:rsidRPr="00FF590B" w:rsidTr="00565B18">
        <w:trPr>
          <w:trHeight w:val="628"/>
        </w:trPr>
        <w:tc>
          <w:tcPr>
            <w:tcW w:w="5954" w:type="dxa"/>
          </w:tcPr>
          <w:p w:rsidR="00565B18" w:rsidRPr="00C95D1A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профессионального мастерства среди учителей-логопедов.</w:t>
            </w:r>
          </w:p>
        </w:tc>
        <w:tc>
          <w:tcPr>
            <w:tcW w:w="3402" w:type="dxa"/>
          </w:tcPr>
          <w:p w:rsidR="00565B18" w:rsidRPr="00C95D1A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Кущенко Дина Владимировна</w:t>
            </w:r>
          </w:p>
        </w:tc>
      </w:tr>
      <w:tr w:rsidR="00BE4ECA" w:rsidRPr="00FF590B" w:rsidTr="00A54FB7">
        <w:tc>
          <w:tcPr>
            <w:tcW w:w="5954" w:type="dxa"/>
          </w:tcPr>
          <w:p w:rsidR="00BE4ECA" w:rsidRPr="00C95D1A" w:rsidRDefault="00BE4ECA" w:rsidP="00565B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городском конкурсе профессионального мастерства по речевому развитию: п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оказ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непосредственно 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образовательной деятельности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«Посуда» </w:t>
            </w:r>
          </w:p>
        </w:tc>
        <w:tc>
          <w:tcPr>
            <w:tcW w:w="3402" w:type="dxa"/>
            <w:vMerge w:val="restart"/>
          </w:tcPr>
          <w:p w:rsidR="00BE4ECA" w:rsidRPr="00C95D1A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C95D1A">
              <w:rPr>
                <w:rFonts w:ascii="Times New Roman" w:eastAsia="Calibri" w:hAnsi="Times New Roman" w:cs="Times New Roman"/>
                <w:lang w:eastAsia="ru-RU"/>
              </w:rPr>
              <w:t>Булгакова Оксана Сергеевна</w:t>
            </w:r>
          </w:p>
        </w:tc>
      </w:tr>
      <w:tr w:rsidR="00BE4ECA" w:rsidRPr="00FF590B" w:rsidTr="00A54FB7">
        <w:tc>
          <w:tcPr>
            <w:tcW w:w="5954" w:type="dxa"/>
          </w:tcPr>
          <w:p w:rsidR="00BE4ECA" w:rsidRPr="00C95D1A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профессионального мастерства среди учителей-логопедов.</w:t>
            </w:r>
          </w:p>
        </w:tc>
        <w:tc>
          <w:tcPr>
            <w:tcW w:w="3402" w:type="dxa"/>
            <w:vMerge/>
          </w:tcPr>
          <w:p w:rsidR="00BE4ECA" w:rsidRDefault="00BE4ECA" w:rsidP="00A54FB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lang w:eastAsia="ru-RU"/>
              </w:rPr>
            </w:pP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BE4E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Показ непосредственно образовательной деятельности по речевому развитию  «Путешествие в Простоквашино» в рамках преемственности с МБОУ НОШ № 14</w:t>
            </w:r>
          </w:p>
        </w:tc>
        <w:tc>
          <w:tcPr>
            <w:tcW w:w="3402" w:type="dxa"/>
            <w:vMerge/>
          </w:tcPr>
          <w:p w:rsidR="00BE4ECA" w:rsidRDefault="00BE4ECA" w:rsidP="00A54FB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lang w:eastAsia="ru-RU"/>
              </w:rPr>
            </w:pPr>
          </w:p>
        </w:tc>
      </w:tr>
      <w:tr w:rsidR="00565B18" w:rsidRPr="00FF590B" w:rsidTr="00A54FB7">
        <w:tc>
          <w:tcPr>
            <w:tcW w:w="5954" w:type="dxa"/>
          </w:tcPr>
          <w:p w:rsid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</w:tcPr>
          <w:p w:rsidR="00565B18" w:rsidRPr="00565B18" w:rsidRDefault="00565B1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65B18">
              <w:rPr>
                <w:rFonts w:ascii="Times New Roman" w:eastAsia="Calibri" w:hAnsi="Times New Roman" w:cs="Times New Roman"/>
                <w:lang w:eastAsia="ru-RU"/>
              </w:rPr>
              <w:t xml:space="preserve">Борисенко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Елена Ивановна</w:t>
            </w: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кормушек «Покормите птиц зимой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!», проводимого заповедником «</w:t>
            </w:r>
            <w:proofErr w:type="spellStart"/>
            <w:r w:rsidR="00CF3077">
              <w:rPr>
                <w:rFonts w:ascii="Times New Roman" w:eastAsia="Calibri" w:hAnsi="Times New Roman" w:cs="Times New Roman"/>
                <w:lang w:eastAsia="ru-RU"/>
              </w:rPr>
              <w:t>Бастак</w:t>
            </w:r>
            <w:proofErr w:type="spellEnd"/>
            <w:r w:rsidR="00CF307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(1 место)</w:t>
            </w:r>
          </w:p>
        </w:tc>
        <w:tc>
          <w:tcPr>
            <w:tcW w:w="3402" w:type="dxa"/>
            <w:vMerge w:val="restart"/>
          </w:tcPr>
          <w:p w:rsidR="00BE4ECA" w:rsidRPr="00565B18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Шестакова Светлана Викторовна</w:t>
            </w: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BE4E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городском конкурсе профессионального мастерства по речевому развитию: п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оказ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непосредственно 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образовательной деятельности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«Путешествие в осенний лес»</w:t>
            </w:r>
          </w:p>
        </w:tc>
        <w:tc>
          <w:tcPr>
            <w:tcW w:w="3402" w:type="dxa"/>
            <w:vMerge/>
          </w:tcPr>
          <w:p w:rsidR="00BE4ECA" w:rsidRPr="00565B18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3914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Выступление из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 xml:space="preserve"> опыта работы на тему «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Развитие интереса к художественной литературе у детей младшего дошкольного возраста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39143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областные курсы повышения квалификации воспитателей</w:t>
            </w:r>
            <w:r w:rsidRPr="00982411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ОГАУ ДПО «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ИПКПР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C95D1A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3402" w:type="dxa"/>
            <w:vMerge/>
          </w:tcPr>
          <w:p w:rsidR="00BE4ECA" w:rsidRPr="00565B18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BE4E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Участие в областном конкурсе творческих работ, проводимых МЧС России по ЕАО. (1 место)</w:t>
            </w:r>
          </w:p>
        </w:tc>
        <w:tc>
          <w:tcPr>
            <w:tcW w:w="3402" w:type="dxa"/>
            <w:vMerge w:val="restart"/>
          </w:tcPr>
          <w:p w:rsidR="00BE4ECA" w:rsidRPr="00565B18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Праздничных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Светлана Александровна</w:t>
            </w:r>
          </w:p>
        </w:tc>
      </w:tr>
      <w:tr w:rsidR="00BE4ECA" w:rsidRPr="00FF590B" w:rsidTr="00A54FB7">
        <w:tc>
          <w:tcPr>
            <w:tcW w:w="5954" w:type="dxa"/>
          </w:tcPr>
          <w:p w:rsidR="00BE4ECA" w:rsidRDefault="00BE4ECA" w:rsidP="00BE4EC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Показ непосредственно образовательной деятельности по познавательному развитию  «Тайга» в рамках преемственности с МБОУ НОШ № 14</w:t>
            </w:r>
          </w:p>
        </w:tc>
        <w:tc>
          <w:tcPr>
            <w:tcW w:w="3402" w:type="dxa"/>
            <w:vMerge/>
          </w:tcPr>
          <w:p w:rsidR="00BE4ECA" w:rsidRPr="00565B18" w:rsidRDefault="00BE4ECA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27088" w:rsidRPr="00FF590B" w:rsidTr="00A54FB7">
        <w:tc>
          <w:tcPr>
            <w:tcW w:w="5954" w:type="dxa"/>
          </w:tcPr>
          <w:p w:rsidR="00427088" w:rsidRPr="00391437" w:rsidRDefault="00427088" w:rsidP="00CF307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C05FB">
              <w:rPr>
                <w:rFonts w:ascii="Times New Roman" w:eastAsia="Calibri" w:hAnsi="Times New Roman" w:cs="Times New Roman"/>
                <w:lang w:eastAsia="ru-RU"/>
              </w:rPr>
              <w:t xml:space="preserve">Проведение (руководитель) занятий городского МО для </w:t>
            </w:r>
            <w:r w:rsidR="00CF3077">
              <w:rPr>
                <w:rFonts w:ascii="Times New Roman" w:eastAsia="Calibri" w:hAnsi="Times New Roman" w:cs="Times New Roman"/>
                <w:lang w:eastAsia="ru-RU"/>
              </w:rPr>
              <w:t>воспитателей</w:t>
            </w:r>
            <w:r w:rsidRPr="005C05FB">
              <w:rPr>
                <w:rFonts w:ascii="Times New Roman" w:eastAsia="Calibri" w:hAnsi="Times New Roman" w:cs="Times New Roman"/>
                <w:lang w:eastAsia="ru-RU"/>
              </w:rPr>
              <w:t xml:space="preserve"> средних групп.</w:t>
            </w:r>
          </w:p>
        </w:tc>
        <w:tc>
          <w:tcPr>
            <w:tcW w:w="3402" w:type="dxa"/>
          </w:tcPr>
          <w:p w:rsidR="00427088" w:rsidRPr="00B36765" w:rsidRDefault="00427088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6765">
              <w:rPr>
                <w:rFonts w:ascii="Times New Roman" w:eastAsia="Calibri" w:hAnsi="Times New Roman" w:cs="Times New Roman"/>
                <w:lang w:eastAsia="ru-RU"/>
              </w:rPr>
              <w:t>Сапуга</w:t>
            </w:r>
            <w:proofErr w:type="spellEnd"/>
            <w:r w:rsidRPr="00B36765">
              <w:rPr>
                <w:rFonts w:ascii="Times New Roman" w:eastAsia="Calibri" w:hAnsi="Times New Roman" w:cs="Times New Roman"/>
                <w:lang w:eastAsia="ru-RU"/>
              </w:rPr>
              <w:t xml:space="preserve"> Елена Валерьевна</w:t>
            </w:r>
          </w:p>
        </w:tc>
      </w:tr>
    </w:tbl>
    <w:p w:rsidR="00A06FC2" w:rsidRPr="00FF590B" w:rsidRDefault="00A06FC2" w:rsidP="00A06FC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2870" w:rsidRDefault="00FB2870" w:rsidP="00A06F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870" w:rsidRDefault="00FB2870" w:rsidP="00A06F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FAA" w:rsidRDefault="00883FAA" w:rsidP="00A06F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FC2" w:rsidRPr="00FF590B" w:rsidRDefault="00A06FC2" w:rsidP="00A06F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образовательной деятельности.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ДОУ</w:t>
      </w:r>
      <w:r w:rsidR="0039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по Основной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дошкольного образования,  разработанн</w:t>
      </w:r>
      <w:r w:rsidR="00BE4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основных нормативных документов, регламентирующих её деятельность. Она позволяет обеспечить высокий уровень познавательного развития ребёнка, способствует формированию базовой культуры личности дошкольника. Педагогический коллектив, объективно оценивая уровень развития детей и задачи учреждения,  использовал её в своей работе. В связи с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строилась по направлениям: физическое развитие, социально-личностное, познавательно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речевое, художественно-эстетическое развитие и в соответствии с интеграцией образовательных областей. Круглые столы, собеседования, обмен опытом, открытые виды совместной деятельности воспитателя с детьми – это те формы, посредством которых педагоги совершенствовали свои знания по содержанию и технологии работы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также используются парциальные программы по различным направлениям развития ребёнка. Например,</w:t>
      </w:r>
      <w:r w:rsidR="0039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437" w:rsidRPr="0039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«Примерная адаптированная основная образовательная программа для детей с тяжелыми нарушениями речи (общим недоразвитием речи с 3 до 7 лет) под редакцией </w:t>
      </w:r>
      <w:proofErr w:type="spellStart"/>
      <w:r w:rsidR="00391437" w:rsidRPr="00391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="00391437" w:rsidRPr="0039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В. Князева «Я, ты, мы»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Календарное планирование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ведётся на основе рабочих программ, других программно-методических материалов по разделам программы. Образовательная деятельность планируются в соответствии с требованиями: с тремя задачами (обучающей, воспитательной, развивающей); программное содержание соответствует возрасту детей. Также планируется индивидуальная работа, труд в природе, наблюдения, экспериментальн</w:t>
      </w:r>
      <w:r w:rsidR="00BE4ECA">
        <w:rPr>
          <w:rFonts w:ascii="Times New Roman" w:eastAsia="Times New Roman" w:hAnsi="Times New Roman" w:cs="Times New Roman"/>
          <w:sz w:val="24"/>
          <w:szCs w:val="24"/>
          <w:lang w:eastAsia="ru-RU"/>
        </w:rPr>
        <w:t>о-исследовательская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проблемные ситуации, беседы, чтение художественных произведений, подвижные игры и другие виды детской деятельности.</w:t>
      </w:r>
    </w:p>
    <w:p w:rsidR="00A06FC2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имеется ряд недостатков: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отмечено редкое планирование досугов, развлечений по речевому развитию;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занятиях педагоги не совсем тщательно продумывают смену видов деятельности детей, обеспечивающую профилактику детской утомляемости, поддержание интереса к деятельности, динамическую активность во время занятия</w:t>
      </w:r>
      <w:proofErr w:type="gram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р.№ </w:t>
      </w:r>
      <w:r w:rsidR="003914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 </w:t>
      </w:r>
      <w:proofErr w:type="spellStart"/>
      <w:r w:rsidR="0039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Кузьминская</w:t>
      </w:r>
      <w:proofErr w:type="spellEnd"/>
      <w:r w:rsidR="0039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№ 2, педагог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отмечено отсутствие системы в планировании наблюдений, не в полном объёме присутствуют виды деятельности, характерные для данной программы: опыты, ситуации общения, проблемные ситуации, рассматривание репродукций художественных произведений.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</w:t>
      </w:r>
      <w:proofErr w:type="gram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уппах детского сада организован в соответствии с требованиями СанПиН. Содержание и организация образовательного процесса в детском саду регламентировалась перспективно-календарными планами педагогов, сеткой НОД для каждой возрастной группы.  В ДОУ выдержаны все формы организации работы с детьми,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непосредственно-образовательной деятельности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свободной деятельности. Работа педагогами по обучению проводится с учётом достижений ребёнка в овладении им родным языком, его звуковой культурой, грамматическим строем речи, лексическим богатством. Дети проявляют интерес и самостоятельность в использовании простых форм объяснительной речи, самостоятельно пересказывают рассказы и сказки. Свободно пользуются простыми и сложно - подчинёнными предложениями.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проводится большая работа по гражданско-патриотическому воспитанию через национально-региональный компонент. При этом акцент делается на воспитании любви к малой родине, уделяя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 внимание празднованию </w:t>
      </w:r>
      <w:r w:rsidR="00BE4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Воспитателями подобраны материалы,  как об  историческом прошлом, так и  современной жизни города. Материалы собраны в виде фотографий, альбомов, макетов и специальной литературы. Свои впечатления об </w:t>
      </w:r>
      <w:proofErr w:type="gram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узнанном</w:t>
      </w:r>
      <w:proofErr w:type="gram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увиденном дети выражают в рисунках и в созданных совместно с родителями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плакатах и поделках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Таким образом,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работа, проводимая в МКДОУ, создаёт оптимальные условия для воспитания у детей патриотизма, основ гражданственности, а также интереса к своей «малой» Родине.</w:t>
      </w:r>
    </w:p>
    <w:p w:rsidR="00A06FC2" w:rsidRPr="00FF590B" w:rsidRDefault="00A06FC2" w:rsidP="00255E9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решения годовых задач с воспитателями проводились педагогические совещания. Все темы педсоветов были посвящены основным задачам годового плана и анализу работы по тем или иным вопросам. Особый интерес вызвал у воспитателей педагогический </w:t>
      </w:r>
      <w:r w:rsidRPr="004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 тему </w:t>
      </w:r>
      <w:r w:rsidR="00255E94" w:rsidRPr="004D038B">
        <w:rPr>
          <w:rFonts w:ascii="Times New Roman" w:eastAsia="Calibri" w:hAnsi="Times New Roman" w:cs="Times New Roman"/>
        </w:rPr>
        <w:t xml:space="preserve"> «Педагогическое мастерство – высший уровень педагогической деятельности».</w:t>
      </w:r>
      <w:r w:rsidRPr="004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педсовета </w:t>
      </w:r>
      <w:r w:rsidR="004D038B" w:rsidRPr="00FD0A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рассмотрено</w:t>
      </w:r>
      <w:r w:rsidRPr="00FD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38B" w:rsidRPr="00FD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становление личности педагога.</w:t>
      </w:r>
      <w:r w:rsidR="004D038B" w:rsidRPr="004D038B">
        <w:t xml:space="preserve"> </w:t>
      </w:r>
      <w:r w:rsidR="004D038B">
        <w:rPr>
          <w:rFonts w:ascii="Times New Roman" w:hAnsi="Times New Roman" w:cs="Times New Roman"/>
        </w:rPr>
        <w:t xml:space="preserve">В конце педсовета была проведена </w:t>
      </w:r>
      <w:r w:rsidR="004D038B" w:rsidRPr="00FD0A99">
        <w:rPr>
          <w:rFonts w:ascii="Times New Roman" w:hAnsi="Times New Roman" w:cs="Times New Roman"/>
        </w:rPr>
        <w:t>д</w:t>
      </w:r>
      <w:r w:rsidR="004D038B" w:rsidRPr="00FD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еловая игра «Знатоки ФГОС </w:t>
      </w:r>
      <w:proofErr w:type="gramStart"/>
      <w:r w:rsidR="004D038B" w:rsidRPr="00FD0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D038B" w:rsidRPr="00FD0A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D038B" w:rsidRPr="004D0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деятельности коллектива  составлялись с учётом глубокого ежегодного анализа динамики развития ДОУ. На  итоговом педсовете ДОУ по результатам работы за год представлялись отчёты воспитателей и специалистов дополнительного образования по выполнению работы за год. Представленные протоколы педсоветов позволяют сделать вывод о систематичности их проведения, о принятии управленческих решений по итогам рассмотрения вопросов.</w:t>
      </w:r>
    </w:p>
    <w:p w:rsidR="00A06FC2" w:rsidRPr="004D038B" w:rsidRDefault="00A06FC2" w:rsidP="004D038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4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индивидуальные и групповые консультации по основным направлениям  работы всего коллектива, актуальным проблемам педагогики и психологии, по заявкам воспитателей. </w:t>
      </w:r>
      <w:r w:rsidRPr="00FD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усиления зрительного восприятия материала использовались презентации: </w:t>
      </w:r>
      <w:r w:rsidR="00AA035D" w:rsidRPr="00FD0A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детской книги в речевом развитии детей», «Игровые приёмы для развития  словоизменения и словообразования»,</w:t>
      </w:r>
      <w:r w:rsidR="00AA035D" w:rsidRPr="00FD0A99">
        <w:t xml:space="preserve"> </w:t>
      </w:r>
      <w:r w:rsidR="00AA035D" w:rsidRPr="00FD0A9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«СУ-ДЖОК терапия».</w:t>
      </w:r>
      <w:r w:rsidR="00AA03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консультаций были предусмотрены элементы обратной связи, т.е. обеспечение активного включения воспитателей в воспроизведение и закрепление материала.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месяц проводился оперативный контроль (согласно годовому плану), проверялись календарные планы воспитателей, посещались занятия и отдельные режимные моменты, проводились анализ развития детей через беседы, просмотры детских работ. В течение года одной из самых эффективных форм методической работы являлось коллективный просмотр педагогического процесса. Педагоги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Шейко О. В., Воробьева Е. 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З., Шестакова С. В.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демонстрировали высокий уровень педагогического процесса. 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образовательной деятельности.</w:t>
      </w:r>
    </w:p>
    <w:p w:rsidR="00A06FC2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="004D03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</w:t>
      </w:r>
      <w:r w:rsidR="004D038B"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38B"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«Моделирование предметно-развивающей среды в условиях ФГОС </w:t>
      </w:r>
      <w:proofErr w:type="gramStart"/>
      <w:r w:rsidR="004D038B"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D038B"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="004D038B"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="004D038B"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ИТК в работе педагогов», </w:t>
      </w:r>
      <w:r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4D038B"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</w:t>
      </w:r>
      <w:r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038B"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уровня компетентности педагогов в вопросах интеграции образовательных областей в рамках реализации современных требований к дошкольному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образованию. Данны</w:t>
      </w:r>
      <w:r w:rsidR="004D03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4D03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4D03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</w:t>
      </w:r>
      <w:r w:rsidR="004D03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задачей годового плана и с реализацией плана – графика по введению в действие ФГОС </w:t>
      </w:r>
      <w:proofErr w:type="gram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 ДОУ проводились методические часы, на которых воспитатели знакомились с новинками методической литературы и периодической печати, давались рекомендации по разным разделам программы,  заслушивались отчёты педагогов по итогам  посещения открытых занятий и прослушанных семинаров, подводились итоги конкурсов.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решалась задача оснащения предметно-развивающей среды. В начале учебного года проведена большая работа по её созданию с учётом требований реализуемой образовательной программы и с учётом образовательных областей. Несмотря на то, что сделано, задача оснащения предметно-развивающей среды детского сада остаётся  одной из главных. Необходимо приобрести предметы декоративно-прикладного искусства. В группах необходимо расширять и обновлять игровые и  театрализованные уголки, пополнять дидактические и развивающие игры, наглядный и демонстрационный материал.</w:t>
      </w:r>
    </w:p>
    <w:p w:rsidR="00A06FC2" w:rsidRPr="00FF590B" w:rsidRDefault="00A06FC2" w:rsidP="00A06F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ОЗДОРОВИТЕЛЬНАЯ РАБОТА.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работа детского сада по-прежнему остаётся первостепенной задачей ДОУ:  охрана жизни и укрепление здоровья детей (как физического, так и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психического). Оздоровительная работа с детьми начинается с раннего возраста. Поэтому в группах №</w:t>
      </w:r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27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проводится большая работа по  рационализации режима дня, безопасности окружения, оздоровительному закаливанию, созданию психологического комфорта, практикуется индивидуальный подход к каждому ребёнку.</w:t>
      </w:r>
    </w:p>
    <w:p w:rsidR="00A06FC2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зал. Для правильной организации двигательной активности проводятся физкультурные занятия.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Чайкина Н. А.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раза в неделю проводит физкультурные занятия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(средняя, старш</w:t>
      </w:r>
      <w:r w:rsidR="000B19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</w:t>
      </w:r>
      <w:r w:rsidR="000B19E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она уделяет упражнениям, способствующим выработке правильной осанки, выносливости, ловкости, координации движений, скорости и прыгучести. На этих занятиях дети учатся правильно ходить, сидеть, стоять, проверять свою осанку. Большое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 Александровна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 методики физкультурных занятий, тщательно продумывает их содержание и рациональные способы организации детей с целью увеличения их двигательной активности.  Администрацией ДОУ проводится анализ физкультурных занятий: подсчитывается  общая  и моторная плотность, выявляется уровень физической нагрузки на детский организм. Результаты анализа обсуждаются совместно с инструктором по физической культуре и учитываются в дальнейшей работе. Согласно анализу, моторная плотность занятий составляет от 80 до 90%. У детей формируется положительное эмоциональное состояние и устойчивый интерес к физкультуре.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раз в учебный  год проводится углублённый медосмотр, по результатам, которых медицинским работником совместно с инструктором по физическому воспитанию и воспитателями составляются планы оздоровительной и коррекционной работы с детьми на каждой группе. Это позволило в 201</w:t>
      </w:r>
      <w:r w:rsidR="000B19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0B19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снизить количество случаев заболевания на одного ребёнка и увеличить количество не болевших детей в течение года. </w:t>
      </w:r>
    </w:p>
    <w:p w:rsidR="00883FAA" w:rsidRPr="00883FAA" w:rsidRDefault="00883FAA" w:rsidP="00883F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физического состояния и физической подготовленности соответствует возрастным нормам. </w:t>
      </w:r>
    </w:p>
    <w:p w:rsidR="00883FAA" w:rsidRPr="00883FAA" w:rsidRDefault="00883FAA" w:rsidP="00883F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подготовительных к школе групп уходят в школу с достаточно хорошей физической подготовкой, правильной осанкой.</w:t>
      </w:r>
    </w:p>
    <w:p w:rsidR="00883FAA" w:rsidRPr="00FF590B" w:rsidRDefault="00883FAA" w:rsidP="00883F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F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укрепления и сохранения здоровья детей педагоги ДОУ создают условия для различных видов двигательной активности дошкольников: в утренний отрезок времени планируют проведение игр малой подвижности, работу с оборудованием физкультурного центра, ежедневное проведение утренней гимнастики, начиная с первой младшей группы; проведение подвижных игр на прогулках, физкультминуток при проведении НОД, гимнастики пробуждения, закаливающие мероприятия после дневного сна, умывание прохладной водой.</w:t>
      </w:r>
      <w:proofErr w:type="gramEnd"/>
    </w:p>
    <w:p w:rsidR="00A06FC2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6FC2" w:rsidRPr="00AA035D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03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МОНИТОРИНГ РЕЗУЛЬТАТОВ ФИЗИЧЕСКОГО РАЗВИТИЯ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908"/>
        <w:gridCol w:w="1905"/>
        <w:gridCol w:w="1905"/>
        <w:gridCol w:w="1906"/>
      </w:tblGrid>
      <w:tr w:rsidR="00AA035D" w:rsidRPr="00AA035D" w:rsidTr="00A54FB7"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Выше нормы</w:t>
            </w:r>
          </w:p>
        </w:tc>
        <w:tc>
          <w:tcPr>
            <w:tcW w:w="1915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Ниже нормы</w:t>
            </w:r>
          </w:p>
        </w:tc>
      </w:tr>
      <w:tr w:rsidR="00AA035D" w:rsidRPr="00AA035D" w:rsidTr="00A54FB7"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lang w:eastAsia="ru-RU"/>
              </w:rPr>
              <w:t>2-я младшая</w:t>
            </w:r>
          </w:p>
        </w:tc>
        <w:tc>
          <w:tcPr>
            <w:tcW w:w="1914" w:type="dxa"/>
            <w:vAlign w:val="center"/>
          </w:tcPr>
          <w:p w:rsidR="00A06FC2" w:rsidRPr="00AA035D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lang w:eastAsia="ru-RU"/>
              </w:rPr>
              <w:t>30 - 31</w:t>
            </w:r>
          </w:p>
        </w:tc>
        <w:tc>
          <w:tcPr>
            <w:tcW w:w="1914" w:type="dxa"/>
            <w:vAlign w:val="center"/>
          </w:tcPr>
          <w:p w:rsidR="00A06FC2" w:rsidRPr="00AA035D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lang w:eastAsia="ru-RU"/>
              </w:rPr>
              <w:t>26 - 30</w:t>
            </w:r>
          </w:p>
        </w:tc>
        <w:tc>
          <w:tcPr>
            <w:tcW w:w="1914" w:type="dxa"/>
            <w:vAlign w:val="center"/>
          </w:tcPr>
          <w:p w:rsidR="00A06FC2" w:rsidRPr="00AA035D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lang w:eastAsia="ru-RU"/>
              </w:rPr>
              <w:t>0 -  0</w:t>
            </w:r>
          </w:p>
        </w:tc>
        <w:tc>
          <w:tcPr>
            <w:tcW w:w="1915" w:type="dxa"/>
            <w:vAlign w:val="center"/>
          </w:tcPr>
          <w:p w:rsidR="00A06FC2" w:rsidRPr="00AA035D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A035D">
              <w:rPr>
                <w:rFonts w:ascii="Calibri" w:eastAsia="Calibri" w:hAnsi="Calibri" w:cs="Times New Roman"/>
                <w:lang w:eastAsia="ru-RU"/>
              </w:rPr>
              <w:t>4 - 1</w:t>
            </w:r>
          </w:p>
        </w:tc>
      </w:tr>
      <w:tr w:rsidR="00A06FC2" w:rsidRPr="00FF590B" w:rsidTr="00A54FB7"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Средняя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27 - 25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A035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22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 xml:space="preserve"> -  </w:t>
            </w:r>
            <w:r>
              <w:rPr>
                <w:rFonts w:ascii="Calibri" w:eastAsia="Calibri" w:hAnsi="Calibri" w:cs="Times New Roman"/>
                <w:lang w:eastAsia="ru-RU"/>
              </w:rPr>
              <w:t>20</w:t>
            </w:r>
          </w:p>
        </w:tc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0 -  4</w:t>
            </w:r>
          </w:p>
        </w:tc>
        <w:tc>
          <w:tcPr>
            <w:tcW w:w="1915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 xml:space="preserve"> -  </w:t>
            </w:r>
            <w:r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A06FC2" w:rsidRPr="00FF590B" w:rsidTr="00A54FB7"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Старшая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28 - 24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25 - 19</w:t>
            </w:r>
          </w:p>
        </w:tc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0 - </w:t>
            </w: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1915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3 - 0</w:t>
            </w:r>
          </w:p>
        </w:tc>
      </w:tr>
      <w:tr w:rsidR="00A06FC2" w:rsidRPr="00FF590B" w:rsidTr="00A54FB7"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Подготовительная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46 - 44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A035D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40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 xml:space="preserve"> -  </w:t>
            </w:r>
            <w:r>
              <w:rPr>
                <w:rFonts w:ascii="Calibri" w:eastAsia="Calibri" w:hAnsi="Calibri" w:cs="Times New Roman"/>
                <w:lang w:eastAsia="ru-RU"/>
              </w:rPr>
              <w:t>39</w:t>
            </w:r>
          </w:p>
        </w:tc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 -  </w:t>
            </w: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1915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  <w:r w:rsidR="00A06FC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>-</w:t>
            </w:r>
            <w:r w:rsidR="00A06FC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A06FC2" w:rsidRPr="00FF590B" w:rsidTr="00A54FB7"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131</w:t>
            </w:r>
            <w:r w:rsidR="00A06FC2" w:rsidRPr="00FF590B">
              <w:rPr>
                <w:rFonts w:ascii="Calibri" w:eastAsia="Calibri" w:hAnsi="Calibri" w:cs="Times New Roman"/>
                <w:lang w:eastAsia="ru-RU"/>
              </w:rPr>
              <w:t xml:space="preserve"> -  </w:t>
            </w:r>
            <w:r>
              <w:rPr>
                <w:rFonts w:ascii="Calibri" w:eastAsia="Calibri" w:hAnsi="Calibri" w:cs="Times New Roman"/>
                <w:lang w:eastAsia="ru-RU"/>
              </w:rPr>
              <w:t>124</w:t>
            </w:r>
          </w:p>
        </w:tc>
        <w:tc>
          <w:tcPr>
            <w:tcW w:w="1914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113 - 108</w:t>
            </w:r>
          </w:p>
        </w:tc>
        <w:tc>
          <w:tcPr>
            <w:tcW w:w="1914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 - </w:t>
            </w:r>
            <w:r>
              <w:rPr>
                <w:rFonts w:ascii="Calibri" w:eastAsia="Calibri" w:hAnsi="Calibri" w:cs="Times New Roman"/>
                <w:lang w:eastAsia="ru-RU"/>
              </w:rPr>
              <w:t>14</w:t>
            </w:r>
          </w:p>
        </w:tc>
        <w:tc>
          <w:tcPr>
            <w:tcW w:w="1915" w:type="dxa"/>
            <w:vAlign w:val="center"/>
          </w:tcPr>
          <w:p w:rsidR="00A06FC2" w:rsidRPr="00FF590B" w:rsidRDefault="00AA035D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16 - 2</w:t>
            </w:r>
          </w:p>
        </w:tc>
      </w:tr>
    </w:tbl>
    <w:p w:rsidR="00A06FC2" w:rsidRPr="00FF590B" w:rsidRDefault="00A06FC2" w:rsidP="00A06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Проводимая диагностика уровня физического развития детей в начале  и в конце года показала, что после проведения оздоровительной работы увеличился процент детей с показателями «</w:t>
      </w:r>
      <w:r w:rsidR="00012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н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орма» уровня физического развития и уменьшился процент детей с показателями «Ниже нормы» уровня физического развития.</w:t>
      </w:r>
    </w:p>
    <w:p w:rsidR="00A06FC2" w:rsidRPr="00FF590B" w:rsidRDefault="00883FAA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FC2"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 коллектив ДОУ проводил целенаправленную работу по воспитанию здорового ребёнка, используя все доступные средства физического развития и оздоровления детского организма. Результатами физкультурно-оздоровительной работы считаем следующее: 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физического развития детей;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индивидуального подхода к каждому ребёнку; 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сотрудничество с семьёй ребёнка по вопросам оздоровления.</w:t>
      </w:r>
    </w:p>
    <w:p w:rsidR="00CA66B7" w:rsidRDefault="00CA66B7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Сделаны выводы о необходимости дальнейшего: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Усиления контроля за физкультурно-оздоровительной работы со стороны мед</w:t>
      </w:r>
      <w:proofErr w:type="gram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ерсонала;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работы ДОУ по профилактике простудных заболеваний, реализация плана физкультурно-оздоровительной работы в группах;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просветительской работы по охране и укреплению здоровья детей с воспитателями и родителями.</w:t>
      </w:r>
    </w:p>
    <w:p w:rsidR="00A06FC2" w:rsidRDefault="00A06FC2" w:rsidP="00A06F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3DD3" w:rsidRPr="009C3DD3" w:rsidRDefault="009C3DD3" w:rsidP="009C3DD3">
      <w:pPr>
        <w:shd w:val="clear" w:color="auto" w:fill="FFFFFF"/>
        <w:spacing w:before="150" w:after="150" w:line="288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3D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Зарегистрировано случаев заболевания за отчетный период</w:t>
      </w:r>
    </w:p>
    <w:tbl>
      <w:tblPr>
        <w:tblW w:w="0" w:type="auto"/>
        <w:tblCellSpacing w:w="15" w:type="dxa"/>
        <w:tblInd w:w="2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1469"/>
      </w:tblGrid>
      <w:tr w:rsidR="009C3DD3" w:rsidRPr="009C3DD3" w:rsidTr="009C3D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единиц</w:t>
            </w:r>
          </w:p>
        </w:tc>
      </w:tr>
      <w:tr w:rsidR="009C3DD3" w:rsidRPr="009C3DD3" w:rsidTr="009C3D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9C3DD3" w:rsidRPr="009C3DD3" w:rsidTr="009C3D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9C3DD3" w:rsidRDefault="009C3DD3" w:rsidP="009C3DD3">
            <w:pPr>
              <w:spacing w:before="75" w:after="150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9C3DD3" w:rsidRPr="009C3DD3" w:rsidRDefault="009C3DD3" w:rsidP="009C3DD3">
            <w:pPr>
              <w:spacing w:before="150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ОРВИ и грипп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9C3DD3" w:rsidRPr="009C3DD3" w:rsidTr="009C3D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C3DD3" w:rsidRPr="009C3DD3" w:rsidTr="009C3D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3DD3" w:rsidRPr="009C3DD3" w:rsidTr="009C3D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Бронхит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3DD3" w:rsidRPr="009C3DD3" w:rsidTr="009C3D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3DD3" w:rsidRPr="009C3DD3" w:rsidRDefault="009C3DD3" w:rsidP="009C3DD3">
            <w:pPr>
              <w:spacing w:before="75" w:after="75" w:line="288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9C3DD3" w:rsidRDefault="009C3DD3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Pr="00C77064" w:rsidRDefault="009C3DD3" w:rsidP="009C3DD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оздоровительная работа даёт положительные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C3DD3" w:rsidRDefault="009C3DD3" w:rsidP="009C3DD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3DD3" w:rsidRPr="00C77064" w:rsidRDefault="009C3DD3" w:rsidP="009C3DD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70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заболеваемости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992"/>
        <w:gridCol w:w="993"/>
        <w:gridCol w:w="964"/>
        <w:gridCol w:w="979"/>
        <w:gridCol w:w="1160"/>
        <w:gridCol w:w="1114"/>
      </w:tblGrid>
      <w:tr w:rsidR="009C3DD3" w:rsidRPr="00FF590B" w:rsidTr="009C3DD3">
        <w:tc>
          <w:tcPr>
            <w:tcW w:w="1384" w:type="dxa"/>
            <w:vMerge w:val="restart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Кол-во детей</w:t>
            </w:r>
          </w:p>
        </w:tc>
        <w:tc>
          <w:tcPr>
            <w:tcW w:w="3799" w:type="dxa"/>
            <w:gridSpan w:val="4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Группы  здоровья</w:t>
            </w:r>
          </w:p>
        </w:tc>
        <w:tc>
          <w:tcPr>
            <w:tcW w:w="979" w:type="dxa"/>
            <w:vMerge w:val="restart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ЧБД</w:t>
            </w:r>
          </w:p>
        </w:tc>
        <w:tc>
          <w:tcPr>
            <w:tcW w:w="1160" w:type="dxa"/>
            <w:vMerge w:val="restart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Пропущено д/д по болезни</w:t>
            </w:r>
          </w:p>
        </w:tc>
        <w:tc>
          <w:tcPr>
            <w:tcW w:w="1114" w:type="dxa"/>
            <w:vMerge w:val="restart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Пропущено одним ребёнком</w:t>
            </w:r>
          </w:p>
        </w:tc>
      </w:tr>
      <w:tr w:rsidR="009C3DD3" w:rsidRPr="00FF590B" w:rsidTr="009C3DD3">
        <w:tc>
          <w:tcPr>
            <w:tcW w:w="1384" w:type="dxa"/>
            <w:vMerge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96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979" w:type="dxa"/>
            <w:vMerge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9C3DD3" w:rsidRPr="00FF590B" w:rsidTr="009C3DD3">
        <w:tc>
          <w:tcPr>
            <w:tcW w:w="138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201</w:t>
            </w:r>
            <w:r>
              <w:rPr>
                <w:rFonts w:ascii="Calibri" w:eastAsia="Calibri" w:hAnsi="Calibri" w:cs="Times New Roman"/>
                <w:lang w:eastAsia="ru-RU"/>
              </w:rPr>
              <w:t>4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-201</w:t>
            </w:r>
            <w:r>
              <w:rPr>
                <w:rFonts w:ascii="Calibri" w:eastAsia="Calibri" w:hAnsi="Calibri" w:cs="Times New Roman"/>
                <w:lang w:eastAsia="ru-RU"/>
              </w:rPr>
              <w:t>5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172</w:t>
            </w:r>
          </w:p>
        </w:tc>
        <w:tc>
          <w:tcPr>
            <w:tcW w:w="850" w:type="dxa"/>
            <w:vAlign w:val="center"/>
          </w:tcPr>
          <w:p w:rsidR="009C3DD3" w:rsidRPr="00681959" w:rsidRDefault="009C3DD3" w:rsidP="009C3DD3">
            <w:pPr>
              <w:jc w:val="center"/>
            </w:pPr>
            <w:r w:rsidRPr="00681959">
              <w:t>30</w:t>
            </w:r>
          </w:p>
        </w:tc>
        <w:tc>
          <w:tcPr>
            <w:tcW w:w="992" w:type="dxa"/>
            <w:vAlign w:val="center"/>
          </w:tcPr>
          <w:p w:rsidR="009C3DD3" w:rsidRPr="00681959" w:rsidRDefault="009C3DD3" w:rsidP="009C3DD3">
            <w:pPr>
              <w:jc w:val="center"/>
            </w:pPr>
            <w:r w:rsidRPr="00681959">
              <w:t>133</w:t>
            </w:r>
          </w:p>
        </w:tc>
        <w:tc>
          <w:tcPr>
            <w:tcW w:w="993" w:type="dxa"/>
            <w:vAlign w:val="center"/>
          </w:tcPr>
          <w:p w:rsidR="009C3DD3" w:rsidRPr="00681959" w:rsidRDefault="009C3DD3" w:rsidP="009C3DD3">
            <w:pPr>
              <w:jc w:val="center"/>
            </w:pPr>
            <w:r w:rsidRPr="00681959">
              <w:t>8</w:t>
            </w:r>
          </w:p>
        </w:tc>
        <w:tc>
          <w:tcPr>
            <w:tcW w:w="96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81959">
              <w:t>1</w:t>
            </w:r>
          </w:p>
        </w:tc>
        <w:tc>
          <w:tcPr>
            <w:tcW w:w="979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1160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1754</w:t>
            </w:r>
          </w:p>
        </w:tc>
        <w:tc>
          <w:tcPr>
            <w:tcW w:w="111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10,2</w:t>
            </w:r>
          </w:p>
        </w:tc>
      </w:tr>
      <w:tr w:rsidR="009C3DD3" w:rsidRPr="00FF590B" w:rsidTr="009C3DD3">
        <w:tc>
          <w:tcPr>
            <w:tcW w:w="138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201</w:t>
            </w:r>
            <w:r>
              <w:rPr>
                <w:rFonts w:ascii="Calibri" w:eastAsia="Calibri" w:hAnsi="Calibri" w:cs="Times New Roman"/>
                <w:lang w:eastAsia="ru-RU"/>
              </w:rPr>
              <w:t>5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>-201</w:t>
            </w:r>
            <w:r>
              <w:rPr>
                <w:rFonts w:ascii="Calibri" w:eastAsia="Calibri" w:hAnsi="Calibri" w:cs="Times New Roman"/>
                <w:lang w:eastAsia="ru-RU"/>
              </w:rPr>
              <w:t>6</w:t>
            </w: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155</w:t>
            </w:r>
          </w:p>
        </w:tc>
        <w:tc>
          <w:tcPr>
            <w:tcW w:w="850" w:type="dxa"/>
            <w:vAlign w:val="center"/>
          </w:tcPr>
          <w:p w:rsidR="009C3DD3" w:rsidRPr="00681959" w:rsidRDefault="009C3DD3" w:rsidP="009C3DD3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9C3DD3" w:rsidRPr="00681959" w:rsidRDefault="009C3DD3" w:rsidP="009C3DD3">
            <w:pPr>
              <w:jc w:val="center"/>
            </w:pPr>
            <w:r>
              <w:t>118</w:t>
            </w:r>
          </w:p>
        </w:tc>
        <w:tc>
          <w:tcPr>
            <w:tcW w:w="993" w:type="dxa"/>
            <w:vAlign w:val="center"/>
          </w:tcPr>
          <w:p w:rsidR="009C3DD3" w:rsidRPr="00681959" w:rsidRDefault="009C3DD3" w:rsidP="009C3DD3">
            <w:pPr>
              <w:jc w:val="center"/>
            </w:pPr>
            <w:r w:rsidRPr="00681959">
              <w:t>8</w:t>
            </w:r>
          </w:p>
        </w:tc>
        <w:tc>
          <w:tcPr>
            <w:tcW w:w="96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681959">
              <w:t>1</w:t>
            </w:r>
          </w:p>
        </w:tc>
        <w:tc>
          <w:tcPr>
            <w:tcW w:w="979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1160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1551</w:t>
            </w:r>
          </w:p>
        </w:tc>
        <w:tc>
          <w:tcPr>
            <w:tcW w:w="1114" w:type="dxa"/>
            <w:vAlign w:val="center"/>
          </w:tcPr>
          <w:p w:rsidR="009C3DD3" w:rsidRPr="00FF590B" w:rsidRDefault="009C3DD3" w:rsidP="009C3DD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10,0</w:t>
            </w:r>
          </w:p>
        </w:tc>
      </w:tr>
    </w:tbl>
    <w:p w:rsidR="009C3DD3" w:rsidRDefault="009C3DD3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приведённых данных видно, что постепенно происходит снижение заболеваемости детей, посещающих  ДОУ.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в ДОУ осуществляется  коррекционная работа с детьми, имеющими  нарушения в речевом развитии.  В ДОУ  работают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Кущенко Д. В., Булгакова О. С.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Все они имеют высшее образование и аттестованы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 должности и вторую квалификационную категорию, соответственно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дошкольном учреждении функционирует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группы: </w:t>
      </w:r>
      <w:r w:rsidR="00012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и подготовительная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находится  </w:t>
      </w:r>
      <w:r w:rsidR="000125F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логопат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значительно превышает нормы по количеству детей в группах с речевыми нарушениями.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логопедических группах специалисты работают по рабочей программе по коррекционному обучению и подготовке к школе детей с общим недоразвитием речи, авторами которой являются логопеды дошкольного учреждения. Вместе с тем используют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рекомендации ведущих логопедов Москвы и Санкт-Петербурга: </w:t>
      </w:r>
      <w:proofErr w:type="spell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Кузнецовой Е.В., Ткаченко Т.Д. и др.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Коррекционно-логопедическую работу с логопатами специалисты строят с учётом их образовательных потребностей, индивидуальных и возрастных особенностей.  Учителя-логопеды ведут работу с опорой на сохранные анализаторы, с учётом возможностей детей, их творческих  способностей и сенситивных периодов развития. Всю коррекционную работу с детьми проводят в форме фронтальных, подгрупповых и индивидуальных занятий. Взаимодействие с детьми на занятиях носит системный и конструктивный характер, реализуясь через различные организационные формы: занятия, игры, интегрированные занятия в содружестве с другими специалистами. При организации взаимодействия с детьми на занятиях решается триединая задача: образовательная, воспитательная, коррекционная, что является фактором успешности обучения и социализации детей.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 О. С.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предпочтение отдаёт продуктивным формам работы, которые активизируют речевую и мыслительную активность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Кущенко Д. В.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коррекции звукопроизношения подбирает задания, которые способствуют активизации словарного запаса, развитию внимания, памяти, способности к переключению. </w:t>
      </w:r>
    </w:p>
    <w:p w:rsidR="00A06FC2" w:rsidRDefault="00A06FC2" w:rsidP="00A06FC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CEE" w:rsidRPr="00BB7CEE" w:rsidRDefault="00BB7CEE" w:rsidP="00BB7CE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Диаграмма речевого профиля подготовительной логопедической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B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двухлетний период обучения 2014-2015, 2015 – 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годы (учитель-логопед Булгакова О. С.)</w:t>
      </w:r>
    </w:p>
    <w:p w:rsidR="00440A40" w:rsidRDefault="00BB7CEE" w:rsidP="00440A4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E71F10" wp14:editId="2F9F6834">
            <wp:extent cx="5940425" cy="3016382"/>
            <wp:effectExtent l="0" t="0" r="3175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4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779" w:rsidRDefault="00B57779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Default="009C3DD3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79" w:rsidRDefault="00440A40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Диаграмма речевого профиля </w:t>
      </w:r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BB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логопедической группы</w:t>
      </w:r>
    </w:p>
    <w:p w:rsidR="00BB7CEE" w:rsidRPr="00BB7CEE" w:rsidRDefault="00440A40" w:rsidP="00B5777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B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2015 – 2016 </w:t>
      </w:r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(учитель-логопед </w:t>
      </w:r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Кущенко Д.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B7CEE" w:rsidRPr="00BB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125F5" w:rsidRDefault="000125F5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40" w:rsidRDefault="00440A40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4D29A2" wp14:editId="481A090F">
            <wp:extent cx="4171950" cy="2486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7779" w:rsidRDefault="00B57779" w:rsidP="00B577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779" w:rsidRPr="00B57779" w:rsidRDefault="00A06FC2" w:rsidP="00B5777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своей деятельности специалисты уделяют взаимосвязи в работе с воспитателями, что существенным образом сказывается на качестве знаний детей. Для педагогов ДОУ </w:t>
      </w:r>
      <w:r w:rsidR="00BB7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логопеды проводят консультации: </w:t>
      </w:r>
      <w:r w:rsidR="00B57779" w:rsidRP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«Игровые приёмы для развития  сло</w:t>
      </w:r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воизменения и словообразования», </w:t>
      </w:r>
      <w:r w:rsidR="00B57779" w:rsidRP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«Гигиена голоса воспитателей»</w:t>
      </w:r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«Су-</w:t>
      </w:r>
      <w:proofErr w:type="spellStart"/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-терапия» и др</w:t>
      </w:r>
      <w:proofErr w:type="gramStart"/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7779" w:rsidRP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6FC2" w:rsidRPr="00FF590B" w:rsidRDefault="008C70C9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FC2"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успешность и эффективность работы по коррекционному направлению напрямую зависит от слаженного, хорошо организованного взаимодействия  учителей-логопедов и воспитателей групп.</w:t>
      </w:r>
    </w:p>
    <w:p w:rsidR="008C70C9" w:rsidRDefault="008C70C9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C9" w:rsidRDefault="008C70C9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ДОУ  осуществляет работу по «Основной образовательной программе» МКДОУ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основе которой лежит личностно-ориентированный подход к воспитанию и образованию детей, включает в себя требования к структуре основной образовательной программы ДОУ,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объёму, условиям реализации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результатам освоения  программы, стандарту дошкольного образования (Приказ </w:t>
      </w:r>
      <w:proofErr w:type="spellStart"/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№1155 от 17.10.2013) .  В соответствии с Федеральным законом от 29.12.2012 № 273-ФЗ «Об образовании в Российской</w:t>
      </w:r>
      <w:proofErr w:type="gramEnd"/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Федерации» разработаны и утверждены рабочие программы, базирующиеся на образовательной программе дошкольного учреждения, адаптированные к конкретным условиям группы и отражают возрастные и индивидуальные особенности развития детей.</w:t>
      </w:r>
    </w:p>
    <w:p w:rsidR="008C70C9" w:rsidRDefault="008C70C9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лениями деятельности  ДОУ в 2015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были:  </w:t>
      </w:r>
      <w:r w:rsidRPr="008C70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сохранение  и укрепления здоровья детей и  воспитание гражданско-патриотических чувств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70C9" w:rsidRPr="008C70C9" w:rsidRDefault="008C70C9" w:rsidP="008C70C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гражданско-патриотическому воспитанию проводилась через национально-региональный компонент. При этом акцент делался на воспитании любви к  родному городу.  Воспитателями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Шейко О. В.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подобран материал, как об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орическом прошлом, так и совреме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жизни города. Материал собран  в  виде фотографий, альбомов, макетов и специальной литературы.</w:t>
      </w:r>
    </w:p>
    <w:p w:rsidR="008C70C9" w:rsidRPr="008C70C9" w:rsidRDefault="008C70C9" w:rsidP="008C70C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впечатления об </w:t>
      </w:r>
      <w:proofErr w:type="gramStart"/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узнанном</w:t>
      </w:r>
      <w:proofErr w:type="gramEnd"/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увиденном дети выражают в рисунках и в созданных совместно с родителями макетах. Интересны и по форме и по содержанию оформле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тематические центры групп  № 5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0C9" w:rsidRDefault="008C70C9" w:rsidP="008C70C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работа, проводимая в ДОУ,  создаёт оптимальные условия для воспитания у детей патриотизма, основ гражданственности, а также интереса к своей малой Родине.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FC2" w:rsidRPr="00FF590B" w:rsidRDefault="008C70C9" w:rsidP="008C70C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6FC2"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своей работе педагоги ДОУ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A06FC2"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6FC2"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благоприятного эмоционального самочувствия детей в семье и дошкольном учреждении, построение практики </w:t>
      </w:r>
      <w:proofErr w:type="spellStart"/>
      <w:r w:rsidR="00A06FC2"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A06FC2"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на началах гуманно-личностной педагогики, ориентации на один абсолютный авторитет – «каждому ребёнку должно быть </w:t>
      </w:r>
      <w:r w:rsidR="00A06FC2"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хорошо». </w:t>
      </w:r>
      <w:proofErr w:type="gramStart"/>
      <w:r w:rsidR="00A06FC2"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способствовали развитию положительного отношения детей к окружающим  посредством праздников, тематических бесед на занятиях и в повседневной жизни: беседы на моральные темы, различные ситуации, произошедшие в течение дня, вместе с детьми рассматривали картины, привлекая их внимание к чувствам, состояниям, поступкам других людей, организовывали театрализованные спектакли, игры-драматизации, в ходе которых дети учились различать поступки персонажей.</w:t>
      </w:r>
      <w:proofErr w:type="gramEnd"/>
      <w:r w:rsidR="00A06FC2"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F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6FC2"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олучали образцы нравственного поведения.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младших группах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 Е. И.,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С., Шестакова С. В., </w:t>
      </w:r>
      <w:proofErr w:type="spellStart"/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Кузьминская</w:t>
      </w:r>
      <w:proofErr w:type="spellEnd"/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</w:t>
      </w:r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главную задачу в воспитании детей видят в укреплении и охране здоровья  детей. С этой целью проводится работа: ежедневная утренняя гимнастика, физкультурные занятия, закаливающие процедуры, достаточное пребывание детей на свежем воздухе и т.п. В развитии умственных способностей педагоги видят   в  воспитание речевого этикета, развитие  сенсорных эталонов, в приобщении детей к культуре чтения.  Основной формой проведения НОД является проведение деятельности  в игровой форме со знакомым сюжетом,  привлечением игровых персонажей из сказок, рассказов, мультфильмов,  активизируют каждого ребёнка в процессе деятельности к высказыванию. В результате проделанной работы дети в этих группах овладели навыками поведения в группе,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зале, на участке ДОУ. </w:t>
      </w:r>
      <w:proofErr w:type="gram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самостоятельно есть</w:t>
      </w:r>
      <w:proofErr w:type="gram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мыть руки пред едой, пользоваться столовыми приборами. Организуемые педагогами игры с детьми помогают детям наладить положительные контакты  со сверстниками, создают условия для развития  предметной среды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средн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(педагоги </w:t>
      </w:r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Воробьева Е. П., </w:t>
      </w:r>
      <w:proofErr w:type="spellStart"/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Лужанская</w:t>
      </w:r>
      <w:proofErr w:type="spellEnd"/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центральной задачей  является развитие умственных способностей через </w:t>
      </w:r>
      <w:r w:rsidR="00B5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познавательно-исследовательскую деятельность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 стали любознательны, задают много вопросов, самостоятельно организуют игры, овладели навыками самообслуживания. Проявляют в ходе НОД внимание, усидчивость, </w:t>
      </w:r>
      <w:proofErr w:type="spell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Дети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в сложные групповые игры, требующие взаимопонимания между всеми участниками.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старш</w:t>
      </w:r>
      <w:r w:rsidR="00B5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группе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(педагоги </w:t>
      </w:r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Шейко О. В., Пирогова Л.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большое внимание уделили созданию в группах соответствующей обстановки, которая способствует развитию способностей и отвечает интересам каждого ребёнка, учитывая в то же время важность взаимного обучения детей и учебной работы по подгруппам.  Центры активности дают детям возможность самостоятельно индивидуализировать воспитательный процесс, исходя из навыков и интересов детей. Социальное и эмоциональное развитие педагоги обеспечивают в ходе разрешения споров и конфликтов, выражения собственных чувств и констатирования навыков, заботы об окружающих и уважения к ним,  </w:t>
      </w:r>
      <w:proofErr w:type="spell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инициатирования</w:t>
      </w:r>
      <w:proofErr w:type="spell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следования инициативе других, совместного пользовании учебным материалом и бережного отношения к ним, коллективной работы. Познавательное развитие педагоги строят на основе возможностей самостоят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разрешения  проблем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различных предметов для классификации,  упорядочения, развития логического мышления, выражения собственных суждений.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проделанной педагогами работы дети  в старших группах </w:t>
      </w:r>
      <w:proofErr w:type="gram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социальны</w:t>
      </w:r>
      <w:proofErr w:type="gram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играют одновременно с 3-4 сверстниками, предпочитают товарищей по игре своего пола, у них есть чувство юм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ора. Им нравиться играть в игры,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они хотят обязательно выиграть и часто меняют правила по ходу игры. Дети могут сосредоточить внимание  в течение более продолжительного времени, навыки мышления и решения проблем находятся на высоком уровне. Они могут сосредоточиться на выполнении задания и выполняют его  с установленными требованиями. Дети хорошо развиты в речевой области, им нравиться говорить, они часто изъясняются, говорят  сложными предложениями и сами исправляют свои речевые ошибки.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</w:t>
      </w:r>
      <w:r w:rsidR="0025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школе гру</w:t>
      </w:r>
      <w:proofErr w:type="gramStart"/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</w:t>
      </w:r>
      <w:proofErr w:type="gram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 идут </w:t>
      </w:r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>43 ребенка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Праздничных С. А., </w:t>
      </w:r>
      <w:proofErr w:type="spellStart"/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Белоносова</w:t>
      </w:r>
      <w:proofErr w:type="spellEnd"/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Г., </w:t>
      </w:r>
      <w:proofErr w:type="spellStart"/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Гоголова</w:t>
      </w:r>
      <w:proofErr w:type="spellEnd"/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З., </w:t>
      </w:r>
      <w:proofErr w:type="spellStart"/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Гоголова</w:t>
      </w:r>
      <w:proofErr w:type="spellEnd"/>
      <w:r w:rsidR="0025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задачу в работе с детьми строили не только в сообщении знаний, а в формировании у детей специальных умений: целенаправленного развития памяти, воображения, внимания,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мышления и речи. Обучение детей носило развивающий характер, что давало возможность открывать, творить, рассуждать, спорить. Большое значение педагоги  придавали постановке вопросов, требующих от детей поиска, активного привлечения имеющихся у них знаний, сравнений, сопоставления  предметов, обобщения, побуждение детей к   самостоятельной работе. В целом программа детьми усвоена, они имеют  достаточный объём знаний, большой кругозор. Не возникало трудностей при составлении  рассказов, построении предложений для выражения своих мыслей. Дети показали высокий уровень образного мышления; большинство детей смогли выполнить задания на использование условно-схематических изображений для ориентировки в пространстве.</w:t>
      </w:r>
    </w:p>
    <w:p w:rsidR="00A06FC2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150C" w:rsidRPr="00B7150C" w:rsidRDefault="00B7150C" w:rsidP="00B7150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большое внимание уделялось развитию речи. Эта работа отражена в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ериалах семинаров, консультаций</w:t>
      </w:r>
      <w:r w:rsidRPr="00B715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0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детской книги в речевом развитии детей», «Игровые приёмы для развития словоизменения и словообразования», «СУ ДЖОК – терапия»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50C" w:rsidRPr="00B7150C" w:rsidRDefault="00B7150C" w:rsidP="00B7150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выдержаны все формы организации работы, как на занятиях, так и в свободной деятельности. Работа педагогами по обучению проводилась с учётом достижений ребёнка в овладении им родным языком, его звуковой культурой, грамматическим строем речи, лексическим богатством.  В обучении  рассказыванию у детей старших групп развито умение объяснить, доказать, делать выводы. Дети проявляют интерес и самостоятельность в использовании простых форм объяснительной речи, самостоятельно пересказывают рассказы и сказки, свободно пользуются простыми и сложноподчиненными предложениями.</w:t>
      </w:r>
    </w:p>
    <w:p w:rsidR="00B7150C" w:rsidRPr="00B7150C" w:rsidRDefault="00B7150C" w:rsidP="00B7150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внимания уделялось речевому развитию, развитию общения, мелкой моторики руки детей в младших  группах (педагоги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С., Борисенко Е. 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В., Шестакова С. В.</w:t>
      </w:r>
      <w:r w:rsidRPr="00B7150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7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А., Воробьева Е. П.</w:t>
      </w:r>
      <w:r w:rsidRPr="00B7150C">
        <w:rPr>
          <w:rFonts w:ascii="Times New Roman" w:eastAsia="Times New Roman" w:hAnsi="Times New Roman" w:cs="Times New Roman"/>
          <w:sz w:val="24"/>
          <w:szCs w:val="24"/>
          <w:lang w:eastAsia="ru-RU"/>
        </w:rPr>
        <w:t>)., занятия по развитию речи проводят в соответствии  с Программой один раз в неделю, проводится словарная работа, формирование  грамматического строя речи, развитие связной речи, обучение детей навыкам пересказа, описание предметных и  сюжетных картин.</w:t>
      </w:r>
    </w:p>
    <w:p w:rsidR="00B7150C" w:rsidRDefault="00B7150C" w:rsidP="00B7150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можно сделать вывод:  обучение проводится с учётом достижений ребёнка в овладении им родным языком, его звуковой культурой, грамматическим строем, лексическим богатством.</w:t>
      </w:r>
    </w:p>
    <w:p w:rsidR="00B7150C" w:rsidRDefault="00B7150C" w:rsidP="00B7150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Default="00A06FC2" w:rsidP="00B7150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готовности к школе детей подготовительн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Pr="00FF5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 школе групп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</w:p>
    <w:p w:rsidR="00A06FC2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201</w:t>
      </w:r>
      <w:r w:rsidR="00B57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FF5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="00B57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8C79B6" w:rsidRPr="00FF590B" w:rsidRDefault="008C79B6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1"/>
        <w:gridCol w:w="2362"/>
        <w:gridCol w:w="2037"/>
        <w:gridCol w:w="1781"/>
      </w:tblGrid>
      <w:tr w:rsidR="00A06FC2" w:rsidRPr="00FF590B" w:rsidTr="00A54FB7">
        <w:trPr>
          <w:trHeight w:val="619"/>
        </w:trPr>
        <w:tc>
          <w:tcPr>
            <w:tcW w:w="1556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Группа</w:t>
            </w:r>
          </w:p>
        </w:tc>
        <w:tc>
          <w:tcPr>
            <w:tcW w:w="155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Кол-во детей</w:t>
            </w:r>
          </w:p>
        </w:tc>
        <w:tc>
          <w:tcPr>
            <w:tcW w:w="6180" w:type="dxa"/>
            <w:gridSpan w:val="3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Критерии готовности к школе</w:t>
            </w:r>
          </w:p>
        </w:tc>
      </w:tr>
      <w:tr w:rsidR="00A06FC2" w:rsidRPr="00FF590B" w:rsidTr="00A54FB7">
        <w:tc>
          <w:tcPr>
            <w:tcW w:w="1556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55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2362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Норма</w:t>
            </w:r>
          </w:p>
        </w:tc>
        <w:tc>
          <w:tcPr>
            <w:tcW w:w="2037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Выше нормы</w:t>
            </w:r>
          </w:p>
        </w:tc>
        <w:tc>
          <w:tcPr>
            <w:tcW w:w="178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Ниже нормы</w:t>
            </w:r>
          </w:p>
        </w:tc>
      </w:tr>
      <w:tr w:rsidR="00A06FC2" w:rsidRPr="00FF590B" w:rsidTr="00A54FB7">
        <w:tc>
          <w:tcPr>
            <w:tcW w:w="1556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№</w:t>
            </w:r>
            <w:r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1551" w:type="dxa"/>
            <w:vAlign w:val="center"/>
          </w:tcPr>
          <w:p w:rsidR="00A06FC2" w:rsidRPr="00FF590B" w:rsidRDefault="00A06FC2" w:rsidP="00255E94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</w:t>
            </w:r>
            <w:r w:rsidR="00B57779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2362" w:type="dxa"/>
            <w:vAlign w:val="center"/>
          </w:tcPr>
          <w:p w:rsidR="00A06FC2" w:rsidRPr="00FF590B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18</w:t>
            </w:r>
          </w:p>
        </w:tc>
        <w:tc>
          <w:tcPr>
            <w:tcW w:w="2037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1781" w:type="dxa"/>
            <w:vAlign w:val="center"/>
          </w:tcPr>
          <w:p w:rsidR="00A06FC2" w:rsidRPr="00FF590B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255E94" w:rsidRPr="00FF590B" w:rsidTr="00A54FB7">
        <w:tc>
          <w:tcPr>
            <w:tcW w:w="1556" w:type="dxa"/>
            <w:vAlign w:val="center"/>
          </w:tcPr>
          <w:p w:rsidR="00255E94" w:rsidRPr="00FF590B" w:rsidRDefault="00255E94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№ 3</w:t>
            </w:r>
          </w:p>
        </w:tc>
        <w:tc>
          <w:tcPr>
            <w:tcW w:w="1551" w:type="dxa"/>
            <w:vAlign w:val="center"/>
          </w:tcPr>
          <w:p w:rsidR="00255E94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19</w:t>
            </w:r>
          </w:p>
        </w:tc>
        <w:tc>
          <w:tcPr>
            <w:tcW w:w="2362" w:type="dxa"/>
            <w:vAlign w:val="center"/>
          </w:tcPr>
          <w:p w:rsidR="00255E94" w:rsidRPr="00FF590B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</w:t>
            </w:r>
          </w:p>
        </w:tc>
        <w:tc>
          <w:tcPr>
            <w:tcW w:w="2037" w:type="dxa"/>
            <w:vAlign w:val="center"/>
          </w:tcPr>
          <w:p w:rsidR="00255E94" w:rsidRDefault="00255E94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1781" w:type="dxa"/>
            <w:vAlign w:val="center"/>
          </w:tcPr>
          <w:p w:rsidR="00255E94" w:rsidRDefault="00255E94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0</w:t>
            </w:r>
          </w:p>
        </w:tc>
      </w:tr>
      <w:tr w:rsidR="00A06FC2" w:rsidRPr="00FF590B" w:rsidTr="00A54FB7">
        <w:tc>
          <w:tcPr>
            <w:tcW w:w="1556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Итого:</w:t>
            </w:r>
          </w:p>
        </w:tc>
        <w:tc>
          <w:tcPr>
            <w:tcW w:w="1551" w:type="dxa"/>
            <w:vAlign w:val="center"/>
          </w:tcPr>
          <w:p w:rsidR="00A06FC2" w:rsidRPr="00FF590B" w:rsidRDefault="00255E94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43</w:t>
            </w:r>
          </w:p>
        </w:tc>
        <w:tc>
          <w:tcPr>
            <w:tcW w:w="2362" w:type="dxa"/>
            <w:vAlign w:val="center"/>
          </w:tcPr>
          <w:p w:rsidR="00A06FC2" w:rsidRPr="00FF590B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33</w:t>
            </w:r>
          </w:p>
        </w:tc>
        <w:tc>
          <w:tcPr>
            <w:tcW w:w="2037" w:type="dxa"/>
            <w:vAlign w:val="center"/>
          </w:tcPr>
          <w:p w:rsidR="00A06FC2" w:rsidRPr="00FF590B" w:rsidRDefault="008E67FB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8</w:t>
            </w:r>
          </w:p>
        </w:tc>
        <w:tc>
          <w:tcPr>
            <w:tcW w:w="1781" w:type="dxa"/>
            <w:vAlign w:val="center"/>
          </w:tcPr>
          <w:p w:rsidR="00A06FC2" w:rsidRPr="00FF590B" w:rsidRDefault="00B57779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lang w:eastAsia="ru-RU"/>
              </w:rPr>
              <w:t>0</w:t>
            </w:r>
          </w:p>
        </w:tc>
      </w:tr>
    </w:tbl>
    <w:p w:rsidR="00A06FC2" w:rsidRPr="00FF590B" w:rsidRDefault="00A06FC2" w:rsidP="00A06F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FF590B" w:rsidRDefault="00A06FC2" w:rsidP="00A06FC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6FC2" w:rsidRDefault="00A06FC2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Целевые ориентиры на этапе завершения дошкольного образования детей </w:t>
      </w:r>
      <w:r w:rsidR="008C79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подготовительных к школе групп</w:t>
      </w:r>
    </w:p>
    <w:p w:rsidR="008C79B6" w:rsidRPr="00FF590B" w:rsidRDefault="008C79B6" w:rsidP="00A06FC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701"/>
      </w:tblGrid>
      <w:tr w:rsidR="00A06FC2" w:rsidRPr="00FF590B" w:rsidTr="00A54FB7">
        <w:trPr>
          <w:trHeight w:val="291"/>
        </w:trPr>
        <w:tc>
          <w:tcPr>
            <w:tcW w:w="5353" w:type="dxa"/>
            <w:vMerge w:val="restart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Целевые ориентиры</w:t>
            </w:r>
          </w:p>
        </w:tc>
        <w:tc>
          <w:tcPr>
            <w:tcW w:w="3969" w:type="dxa"/>
            <w:gridSpan w:val="2"/>
            <w:vAlign w:val="center"/>
          </w:tcPr>
          <w:p w:rsidR="00A06FC2" w:rsidRPr="00FF590B" w:rsidRDefault="00A06FC2" w:rsidP="00B577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Группа №</w:t>
            </w:r>
            <w:r w:rsidR="00B57779">
              <w:rPr>
                <w:rFonts w:ascii="Calibri" w:eastAsia="Calibri" w:hAnsi="Calibri" w:cs="Times New Roman"/>
                <w:b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>6</w:t>
            </w:r>
            <w:r w:rsidR="00B57779">
              <w:rPr>
                <w:rFonts w:ascii="Calibri" w:eastAsia="Calibri" w:hAnsi="Calibri" w:cs="Times New Roman"/>
                <w:b/>
                <w:lang w:eastAsia="ru-RU"/>
              </w:rPr>
              <w:t xml:space="preserve"> - 24</w:t>
            </w:r>
          </w:p>
        </w:tc>
      </w:tr>
      <w:tr w:rsidR="00A06FC2" w:rsidRPr="00FF590B" w:rsidTr="00A54FB7">
        <w:trPr>
          <w:trHeight w:val="409"/>
        </w:trPr>
        <w:tc>
          <w:tcPr>
            <w:tcW w:w="5353" w:type="dxa"/>
            <w:vMerge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proofErr w:type="spellStart"/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Достат</w:t>
            </w:r>
            <w:proofErr w:type="spellEnd"/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 xml:space="preserve">Не  </w:t>
            </w:r>
            <w:proofErr w:type="spellStart"/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дост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>ат</w:t>
            </w:r>
            <w:proofErr w:type="spellEnd"/>
            <w:r>
              <w:rPr>
                <w:rFonts w:ascii="Calibri" w:eastAsia="Calibri" w:hAnsi="Calibri" w:cs="Times New Roman"/>
                <w:b/>
                <w:lang w:eastAsia="ru-RU"/>
              </w:rPr>
              <w:t>.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1.Инициативность и самостоятельность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2.Способность выбирать себе род занятий.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 xml:space="preserve">3.Уветенность в своих силах, </w:t>
            </w:r>
            <w:proofErr w:type="gramStart"/>
            <w:r w:rsidRPr="00FF590B">
              <w:rPr>
                <w:rFonts w:ascii="Times New Roman" w:eastAsia="Calibri" w:hAnsi="Times New Roman" w:cs="Times New Roman"/>
                <w:lang w:eastAsia="ru-RU"/>
              </w:rPr>
              <w:t>открыт</w:t>
            </w:r>
            <w:proofErr w:type="gramEnd"/>
            <w:r w:rsidRPr="00FF590B">
              <w:rPr>
                <w:rFonts w:ascii="Times New Roman" w:eastAsia="Calibri" w:hAnsi="Times New Roman" w:cs="Times New Roman"/>
                <w:lang w:eastAsia="ru-RU"/>
              </w:rPr>
              <w:t xml:space="preserve"> внешнему миру, положительно относится к себе и другим.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10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lastRenderedPageBreak/>
              <w:t>4.Обладание чувством собственного достоинства.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5.Взаимодействие со сверстниками и взрослыми.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6.Проявление в различных видах деятельности воображения, фантазии, творчества.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7.Подчинение разным правилам и социальным нормам.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8.Проявление творческих способностей.</w:t>
            </w:r>
          </w:p>
        </w:tc>
        <w:tc>
          <w:tcPr>
            <w:tcW w:w="2268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9.Способность контролировать свои движения (уровень развития крупной и мелкой моторики).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10.Способность к волевым усилиям.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11.Проявление любознательности.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12.Склонность к наблюдению, экспериментированию.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A06FC2" w:rsidRPr="00FF590B" w:rsidRDefault="00A06FC2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</w:tr>
      <w:tr w:rsidR="00A06FC2" w:rsidRPr="00FF590B" w:rsidTr="00A54FB7">
        <w:tc>
          <w:tcPr>
            <w:tcW w:w="5353" w:type="dxa"/>
          </w:tcPr>
          <w:p w:rsidR="00A06FC2" w:rsidRPr="00FF590B" w:rsidRDefault="00A06FC2" w:rsidP="00A54FB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FF590B">
              <w:rPr>
                <w:rFonts w:ascii="Times New Roman" w:eastAsia="Calibri" w:hAnsi="Times New Roman" w:cs="Times New Roman"/>
                <w:lang w:eastAsia="ru-RU"/>
              </w:rPr>
              <w:t>13.Способность к принятию собственных решений.</w:t>
            </w:r>
          </w:p>
        </w:tc>
        <w:tc>
          <w:tcPr>
            <w:tcW w:w="2268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A06FC2" w:rsidRPr="00FF590B" w:rsidRDefault="008C79B6" w:rsidP="00A54FB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11</w:t>
            </w:r>
          </w:p>
        </w:tc>
      </w:tr>
    </w:tbl>
    <w:p w:rsidR="00A06FC2" w:rsidRPr="00FF590B" w:rsidRDefault="00A06FC2" w:rsidP="00A06F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осуществления </w:t>
      </w:r>
      <w:proofErr w:type="spell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является качественная  подготовка детей к школе. По результатам индивидуальных бесед с родителями и отзывов учителей школ выпускники ДОУ хорошо осваивают программу, уровень их подготовки соответствует требованиям, предъявляемым к дошкольникам, подготовка детей к школе оценивается учителями как хорошая, родители воспитанников удовлетворены уровнем подготовки детей к школе.</w:t>
      </w:r>
    </w:p>
    <w:p w:rsidR="009C3DD3" w:rsidRDefault="009C3DD3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D3" w:rsidRPr="009C3DD3" w:rsidRDefault="009C3DD3" w:rsidP="009C3DD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Итоговые результаты освоения детьми образовательной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808"/>
        <w:gridCol w:w="1120"/>
        <w:gridCol w:w="1855"/>
        <w:gridCol w:w="1471"/>
        <w:gridCol w:w="1171"/>
        <w:gridCol w:w="2058"/>
      </w:tblGrid>
      <w:tr w:rsidR="009C3DD3" w:rsidRPr="009C3DD3" w:rsidTr="009C3DD3">
        <w:tc>
          <w:tcPr>
            <w:tcW w:w="1088" w:type="dxa"/>
            <w:vMerge w:val="restart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808" w:type="dxa"/>
            <w:vMerge w:val="restart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7675" w:type="dxa"/>
            <w:gridSpan w:val="5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</w:t>
            </w:r>
          </w:p>
        </w:tc>
      </w:tr>
      <w:tr w:rsidR="009C3DD3" w:rsidRPr="009C3DD3" w:rsidTr="009C3DD3">
        <w:tc>
          <w:tcPr>
            <w:tcW w:w="1088" w:type="dxa"/>
            <w:vMerge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55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471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х\</w:t>
            </w:r>
            <w:proofErr w:type="spellStart"/>
            <w:proofErr w:type="gram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171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058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9C3DD3" w:rsidRPr="009C3DD3" w:rsidTr="009C3DD3">
        <w:tc>
          <w:tcPr>
            <w:tcW w:w="1088" w:type="dxa"/>
          </w:tcPr>
          <w:p w:rsidR="009C3DD3" w:rsidRPr="009C3DD3" w:rsidRDefault="009C3DD3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 № 2 </w:t>
            </w:r>
          </w:p>
        </w:tc>
        <w:tc>
          <w:tcPr>
            <w:tcW w:w="808" w:type="dxa"/>
          </w:tcPr>
          <w:p w:rsidR="009C3DD3" w:rsidRPr="009C3DD3" w:rsidRDefault="009C3DD3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 19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- 5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  5</w:t>
            </w:r>
          </w:p>
        </w:tc>
        <w:tc>
          <w:tcPr>
            <w:tcW w:w="1855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 21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- 3 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- 5</w:t>
            </w:r>
          </w:p>
        </w:tc>
        <w:tc>
          <w:tcPr>
            <w:tcW w:w="1471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- 21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- 2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-6</w:t>
            </w:r>
          </w:p>
        </w:tc>
        <w:tc>
          <w:tcPr>
            <w:tcW w:w="1171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- 25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- 3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-1</w:t>
            </w:r>
          </w:p>
        </w:tc>
        <w:tc>
          <w:tcPr>
            <w:tcW w:w="2058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- 23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- 3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-3</w:t>
            </w:r>
          </w:p>
        </w:tc>
      </w:tr>
      <w:tr w:rsidR="009C3DD3" w:rsidRPr="009C3DD3" w:rsidTr="009C3DD3">
        <w:tc>
          <w:tcPr>
            <w:tcW w:w="1088" w:type="dxa"/>
          </w:tcPr>
          <w:p w:rsidR="009C3DD3" w:rsidRPr="009C3DD3" w:rsidRDefault="009C3DD3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08" w:type="dxa"/>
          </w:tcPr>
          <w:p w:rsidR="009C3DD3" w:rsidRPr="009C3DD3" w:rsidRDefault="009C3DD3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- 15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 14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  <w:tc>
          <w:tcPr>
            <w:tcW w:w="1855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- 21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- 7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-3</w:t>
            </w:r>
          </w:p>
        </w:tc>
        <w:tc>
          <w:tcPr>
            <w:tcW w:w="1471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- 27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- 2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  <w:tc>
          <w:tcPr>
            <w:tcW w:w="1171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- 25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-0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-6</w:t>
            </w:r>
          </w:p>
        </w:tc>
        <w:tc>
          <w:tcPr>
            <w:tcW w:w="2058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- 5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</w:tr>
      <w:tr w:rsidR="009C3DD3" w:rsidRPr="009C3DD3" w:rsidTr="009C3DD3">
        <w:tc>
          <w:tcPr>
            <w:tcW w:w="1088" w:type="dxa"/>
          </w:tcPr>
          <w:p w:rsidR="009C3DD3" w:rsidRPr="009C3DD3" w:rsidRDefault="009C3DD3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</w:t>
            </w:r>
          </w:p>
        </w:tc>
        <w:tc>
          <w:tcPr>
            <w:tcW w:w="808" w:type="dxa"/>
          </w:tcPr>
          <w:p w:rsidR="009C3DD3" w:rsidRPr="009C3DD3" w:rsidRDefault="009C3DD3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- 2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-4</w:t>
            </w:r>
          </w:p>
        </w:tc>
        <w:tc>
          <w:tcPr>
            <w:tcW w:w="1855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- 4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-4</w:t>
            </w:r>
          </w:p>
        </w:tc>
        <w:tc>
          <w:tcPr>
            <w:tcW w:w="1471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- 2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-1</w:t>
            </w:r>
          </w:p>
        </w:tc>
        <w:tc>
          <w:tcPr>
            <w:tcW w:w="1171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- 20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-2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  <w:tc>
          <w:tcPr>
            <w:tcW w:w="2058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- 22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- 1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-1</w:t>
            </w:r>
          </w:p>
        </w:tc>
      </w:tr>
      <w:tr w:rsidR="009C3DD3" w:rsidRPr="009C3DD3" w:rsidTr="009C3DD3">
        <w:tc>
          <w:tcPr>
            <w:tcW w:w="1088" w:type="dxa"/>
          </w:tcPr>
          <w:p w:rsidR="009C3DD3" w:rsidRPr="009C3DD3" w:rsidRDefault="009C3DD3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08" w:type="dxa"/>
          </w:tcPr>
          <w:p w:rsidR="009C3DD3" w:rsidRPr="009C3DD3" w:rsidRDefault="009C3DD3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  <w:tc>
          <w:tcPr>
            <w:tcW w:w="1855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</w:tcPr>
          <w:p w:rsidR="009C3DD3" w:rsidRPr="009C3DD3" w:rsidRDefault="005E1B87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- 17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-4</w:t>
            </w:r>
          </w:p>
        </w:tc>
        <w:tc>
          <w:tcPr>
            <w:tcW w:w="1171" w:type="dxa"/>
          </w:tcPr>
          <w:p w:rsidR="009C3DD3" w:rsidRPr="009C3DD3" w:rsidRDefault="005E1B87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- 20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3DD3" w:rsidRPr="009C3DD3" w:rsidRDefault="005E1B87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-1</w:t>
            </w:r>
          </w:p>
        </w:tc>
        <w:tc>
          <w:tcPr>
            <w:tcW w:w="2058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- 19</w:t>
            </w:r>
          </w:p>
          <w:p w:rsidR="009C3DD3" w:rsidRPr="009C3DD3" w:rsidRDefault="005E1B87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- 3</w:t>
            </w:r>
          </w:p>
          <w:p w:rsidR="009C3DD3" w:rsidRPr="009C3DD3" w:rsidRDefault="005E1B87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</w:tr>
      <w:tr w:rsidR="009C3DD3" w:rsidRPr="009C3DD3" w:rsidTr="009C3DD3">
        <w:tc>
          <w:tcPr>
            <w:tcW w:w="1088" w:type="dxa"/>
          </w:tcPr>
          <w:p w:rsidR="009C3DD3" w:rsidRPr="009C3DD3" w:rsidRDefault="009C3DD3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08" w:type="dxa"/>
          </w:tcPr>
          <w:p w:rsidR="009C3DD3" w:rsidRPr="009C3DD3" w:rsidRDefault="005E1B87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-15 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DD3" w:rsidRPr="009C3DD3" w:rsidRDefault="009C3DD3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5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3DD3" w:rsidRPr="009C3DD3" w:rsidRDefault="009C3DD3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3DD3" w:rsidRPr="009C3DD3" w:rsidRDefault="009C3DD3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-0</w:t>
            </w:r>
          </w:p>
        </w:tc>
        <w:tc>
          <w:tcPr>
            <w:tcW w:w="2058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C3DD3" w:rsidRPr="009C3DD3" w:rsidRDefault="009C3DD3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3DD3" w:rsidRPr="009C3DD3" w:rsidTr="009C3DD3">
        <w:tc>
          <w:tcPr>
            <w:tcW w:w="1088" w:type="dxa"/>
          </w:tcPr>
          <w:p w:rsidR="009C3DD3" w:rsidRPr="009C3DD3" w:rsidRDefault="009C3DD3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</w:tcPr>
          <w:p w:rsidR="009C3DD3" w:rsidRPr="009C3DD3" w:rsidRDefault="005E1B87" w:rsidP="009C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</w:tcPr>
          <w:p w:rsidR="009C3DD3" w:rsidRPr="009C3DD3" w:rsidRDefault="005E1B87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- 18</w:t>
            </w:r>
          </w:p>
          <w:p w:rsidR="009C3DD3" w:rsidRPr="009C3DD3" w:rsidRDefault="005E1B87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-4</w:t>
            </w:r>
            <w:r w:rsidR="009C3DD3"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3DD3" w:rsidRPr="009C3DD3" w:rsidRDefault="005E1B87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- 2</w:t>
            </w:r>
          </w:p>
        </w:tc>
        <w:tc>
          <w:tcPr>
            <w:tcW w:w="1855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- 5 </w:t>
            </w:r>
          </w:p>
          <w:p w:rsidR="009C3DD3" w:rsidRPr="009C3DD3" w:rsidRDefault="005E1B87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-2</w:t>
            </w:r>
          </w:p>
        </w:tc>
        <w:tc>
          <w:tcPr>
            <w:tcW w:w="1471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-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3DD3" w:rsidRPr="009C3DD3" w:rsidRDefault="005E1B87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-3</w:t>
            </w:r>
          </w:p>
        </w:tc>
        <w:tc>
          <w:tcPr>
            <w:tcW w:w="1171" w:type="dxa"/>
          </w:tcPr>
          <w:p w:rsidR="009C3DD3" w:rsidRPr="009C3DD3" w:rsidRDefault="005E1B87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- 17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 - 7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-0</w:t>
            </w:r>
          </w:p>
        </w:tc>
        <w:tc>
          <w:tcPr>
            <w:tcW w:w="2058" w:type="dxa"/>
          </w:tcPr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- 3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 -  </w:t>
            </w:r>
            <w:r w:rsid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C3DD3" w:rsidRPr="009C3DD3" w:rsidRDefault="009C3DD3" w:rsidP="009C3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 -0</w:t>
            </w:r>
          </w:p>
        </w:tc>
      </w:tr>
    </w:tbl>
    <w:p w:rsidR="009C3DD3" w:rsidRPr="00FF590B" w:rsidRDefault="009C3DD3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87" w:rsidRDefault="009C3DD3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B87"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  по направлениям показал, что  Программа воспитания и обучения в детском саду выполнена. Значительно повысился уровень усвоения программы в средних и старших группах по сравнению с прошедшим годом. В подготовительных к школе группах стабильно высокие результаты. Значительно возросли показатели усвоения программы по социально-коммуникативному развитию, хорошие  показатели выявлены в усвоении программы по разделу «речевое развитие».</w:t>
      </w:r>
      <w:r w:rsid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B87" w:rsidRPr="005E1B87" w:rsidRDefault="005E1B87" w:rsidP="005E1B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Музыкальное воспитание и развитие детей в детском саду организовано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года </w:t>
      </w:r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Коган И. Е.</w:t>
      </w:r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года </w:t>
      </w:r>
      <w:proofErr w:type="spellStart"/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и имеет положительную динамику в развитии эмоционального состояния детей и в освоении ими всех видов музыкальной деятельности. В своей работе музыкальные руководители ориентируются на задачи образовательной программы ДОУ, соответствующие основным задачам ФГОС </w:t>
      </w:r>
      <w:proofErr w:type="gramStart"/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B87" w:rsidRPr="005E1B87" w:rsidRDefault="005E1B87" w:rsidP="005E1B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руководители совместно с воспитателями знакомили детей с традиционными национальными и региональными художественными промыслами, а также с обрядами, песнями, хороводами, побуждали воспроизводить образцы народного творчества в самостоятельной музыкальной и театрализованной деятельности.</w:t>
      </w:r>
    </w:p>
    <w:p w:rsidR="005E1B87" w:rsidRDefault="005E1B87" w:rsidP="005E1B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каждой группе проводились музыкальные занятия,  один раз в месяц – развлечения. </w:t>
      </w:r>
      <w:proofErr w:type="spellStart"/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5E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обучала детей слышать процесс развития музыкального образа в музыкальном произведении. Формами приобщения дошкольников к музыке выступали хоровые и вокальные исполнения, игры на детских музыкальных инструментах, прослушивание музыкальных произведений, выражение своих впечатлений в рисунке, лепке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B87" w:rsidRDefault="005E1B87" w:rsidP="005E1B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87" w:rsidRPr="005E1B87" w:rsidRDefault="005E1B87" w:rsidP="005E1B87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B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освоения задач программы по музыкальному воспитанию в дошкольных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751"/>
        <w:gridCol w:w="642"/>
        <w:gridCol w:w="575"/>
        <w:gridCol w:w="652"/>
        <w:gridCol w:w="636"/>
        <w:gridCol w:w="567"/>
        <w:gridCol w:w="652"/>
        <w:gridCol w:w="792"/>
        <w:gridCol w:w="565"/>
        <w:gridCol w:w="652"/>
        <w:gridCol w:w="636"/>
        <w:gridCol w:w="563"/>
        <w:gridCol w:w="652"/>
      </w:tblGrid>
      <w:tr w:rsidR="005E1B87" w:rsidRPr="005E1B87" w:rsidTr="005E1B87">
        <w:tc>
          <w:tcPr>
            <w:tcW w:w="1236" w:type="dxa"/>
            <w:vMerge w:val="restart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№гр.</w:t>
            </w:r>
          </w:p>
        </w:tc>
        <w:tc>
          <w:tcPr>
            <w:tcW w:w="751" w:type="dxa"/>
            <w:vMerge w:val="restart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69" w:type="dxa"/>
            <w:gridSpan w:val="3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  <w:proofErr w:type="gramStart"/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вижен</w:t>
            </w:r>
            <w:proofErr w:type="spellEnd"/>
          </w:p>
        </w:tc>
        <w:tc>
          <w:tcPr>
            <w:tcW w:w="1855" w:type="dxa"/>
            <w:gridSpan w:val="3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2009" w:type="dxa"/>
            <w:gridSpan w:val="3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</w:tc>
        <w:tc>
          <w:tcPr>
            <w:tcW w:w="1851" w:type="dxa"/>
            <w:gridSpan w:val="3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ДМИ</w:t>
            </w:r>
          </w:p>
        </w:tc>
      </w:tr>
      <w:tr w:rsidR="005E1B87" w:rsidRPr="005E1B87" w:rsidTr="005E1B87">
        <w:tc>
          <w:tcPr>
            <w:tcW w:w="1236" w:type="dxa"/>
            <w:vMerge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575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6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567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79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565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6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563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</w:p>
        </w:tc>
      </w:tr>
      <w:tr w:rsidR="005E1B87" w:rsidRPr="005E1B87" w:rsidTr="005E1B87">
        <w:tc>
          <w:tcPr>
            <w:tcW w:w="12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751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1B87" w:rsidRPr="005E1B87" w:rsidTr="005E1B87">
        <w:tc>
          <w:tcPr>
            <w:tcW w:w="12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751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1B87" w:rsidRPr="005E1B87" w:rsidTr="005E1B87">
        <w:tc>
          <w:tcPr>
            <w:tcW w:w="12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751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B87"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5E1B87" w:rsidRPr="005E1B87" w:rsidRDefault="00B34902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3C0" w:rsidRPr="005E1B87" w:rsidTr="005E1B87">
        <w:tc>
          <w:tcPr>
            <w:tcW w:w="12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751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3C0" w:rsidRPr="005E1B87" w:rsidTr="005E1B87">
        <w:tc>
          <w:tcPr>
            <w:tcW w:w="12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751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" w:type="dxa"/>
          </w:tcPr>
          <w:p w:rsidR="00A173C0" w:rsidRPr="005E1B87" w:rsidRDefault="00A173C0" w:rsidP="00A1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3C0" w:rsidRPr="005E1B87" w:rsidTr="005E1B87">
        <w:tc>
          <w:tcPr>
            <w:tcW w:w="12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751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5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dxa"/>
          </w:tcPr>
          <w:p w:rsidR="00A173C0" w:rsidRPr="005E1B87" w:rsidRDefault="00A173C0" w:rsidP="00AF0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" w:type="dxa"/>
          </w:tcPr>
          <w:p w:rsidR="00A173C0" w:rsidRPr="005E1B87" w:rsidRDefault="00A173C0" w:rsidP="005E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1B87" w:rsidRPr="005E1B87" w:rsidTr="005E1B87">
        <w:tc>
          <w:tcPr>
            <w:tcW w:w="1236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1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42" w:type="dxa"/>
          </w:tcPr>
          <w:p w:rsidR="005E1B87" w:rsidRPr="005E1B87" w:rsidRDefault="00A173C0" w:rsidP="00A17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5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" w:type="dxa"/>
          </w:tcPr>
          <w:p w:rsidR="005E1B87" w:rsidRPr="005E1B87" w:rsidRDefault="005E1B87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E1B87" w:rsidRPr="005E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" w:type="dxa"/>
          </w:tcPr>
          <w:p w:rsidR="005E1B87" w:rsidRPr="005E1B87" w:rsidRDefault="00A173C0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</w:tcPr>
          <w:p w:rsidR="005E1B87" w:rsidRPr="005E1B87" w:rsidRDefault="00B34902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3" w:type="dxa"/>
          </w:tcPr>
          <w:p w:rsidR="005E1B87" w:rsidRPr="005E1B87" w:rsidRDefault="00B34902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</w:tcPr>
          <w:p w:rsidR="005E1B87" w:rsidRPr="005E1B87" w:rsidRDefault="00B34902" w:rsidP="005E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5E1B87" w:rsidRDefault="005E1B87" w:rsidP="005E1B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02" w:rsidRPr="00FF590B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деятельности ДОУ позволил увидеть, что в  педагогический процесс внедряются разнообразные нововведения. Инновации наметились в организации образовательного процесса: занятия проводятся индивидуально, подгруппами, фронтально.</w:t>
      </w: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фактором повышения качества образования является сотрудничество с родителями. Особое внимание уделяется следующим вопросам: адаптация детей в группах раннего возраста, укрепление здоровья и физическое развитие детей, развитие творческих способностей, охрана прав ребёнка, преемственность между ДОУ и начальной школой, подготовка к школе, коррекционная работа с детьми.</w:t>
      </w: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используют  различные формы взаимодействия с родителями:</w:t>
      </w: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(консультирование, беседы</w:t>
      </w: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групповые («круглые столы», работа с родительским  активом);</w:t>
      </w: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коллективные (родительские собрания, дни открытых дверей, совместные праздники и развлечения, конкурсы, различные выставки, информационные стенды).</w:t>
      </w:r>
    </w:p>
    <w:p w:rsidR="00B34902" w:rsidRPr="00FF590B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 года педагоги  ДОУ проводили большую работу по повышению правовой и психолого-педагогической  культуры родителей:</w:t>
      </w:r>
    </w:p>
    <w:p w:rsidR="00B34902" w:rsidRPr="00FF590B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информировали о Нормативных основах прав детей;</w:t>
      </w:r>
    </w:p>
    <w:p w:rsidR="00B34902" w:rsidRPr="00FF590B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вовлекали членов семей в процесс воспитания и развития детей на праздниках, выставках детского  рисунка и других мероприятий детского сада;</w:t>
      </w:r>
    </w:p>
    <w:p w:rsidR="00B34902" w:rsidRPr="00FF590B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с родителями разрабатывали </w:t>
      </w:r>
      <w:proofErr w:type="spell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общегрупповые</w:t>
      </w:r>
      <w:proofErr w:type="spell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традиции, организовывали праздники, спортивные соревнования.</w:t>
      </w:r>
    </w:p>
    <w:p w:rsidR="00B34902" w:rsidRPr="00FF590B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семьи и детского сада носило «прозрачность» всего учебно-воспитательного процесса. В связи с этим педагоги постоянно информировали родителей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содержании, формах и методах работы с детьми, стремились включать родителей в процесс общественного образования их детей путём организации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семейных альбомов и т.д. Оформленная наглядная информация для родителей отвечала общим требованиям, предъявляемым к оформлению учреждения. В течение года родители имели возможность быть не только наблюдателями, но и активными участниками жизни группы:  присутствие родителей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Днях открытых дверей, свободное посещение занятий, прогулок и других моментов жизнедеятельности детей в детском саду.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анкетирования родителей показывают, что родители положительно оценивают работу коллектива детского сада, выражают свою благодарность педагогам и всему детскому саду. Таким образом,  вся работа детского сада строилась на установлении партнёрских отношений с семьёй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существует непреодолимая сложность в том, что ежегодно происходит частичная смена детей в группах  в течение одного года и установившиеся связи с семьями разрываются, являясь непродолжительными  (ясельных, младших, средних группах). </w:t>
      </w:r>
    </w:p>
    <w:p w:rsidR="00B34902" w:rsidRPr="00FF590B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 дети и сотрудники детского сада принимали участие в различных городских мероприятиях. </w:t>
      </w:r>
    </w:p>
    <w:p w:rsidR="00B34902" w:rsidRDefault="00B34902" w:rsidP="00B349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02" w:rsidRDefault="00B34902" w:rsidP="00B349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горо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дских и областных  мероприятиях</w:t>
      </w:r>
    </w:p>
    <w:p w:rsidR="00B34902" w:rsidRPr="00FF590B" w:rsidRDefault="00B34902" w:rsidP="00B349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640"/>
      </w:tblGrid>
      <w:tr w:rsidR="00B34902" w:rsidRPr="00FF590B" w:rsidTr="00AF0147">
        <w:tc>
          <w:tcPr>
            <w:tcW w:w="4647" w:type="dxa"/>
          </w:tcPr>
          <w:p w:rsidR="00B34902" w:rsidRPr="00FF590B" w:rsidRDefault="00B34902" w:rsidP="00AF014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Название конкурса</w:t>
            </w:r>
          </w:p>
        </w:tc>
        <w:tc>
          <w:tcPr>
            <w:tcW w:w="4640" w:type="dxa"/>
          </w:tcPr>
          <w:p w:rsidR="00B34902" w:rsidRPr="00FF590B" w:rsidRDefault="00B34902" w:rsidP="00AF0147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b/>
                <w:lang w:eastAsia="ru-RU"/>
              </w:rPr>
              <w:t>Награда</w:t>
            </w:r>
          </w:p>
        </w:tc>
      </w:tr>
      <w:tr w:rsidR="00B34902" w:rsidRPr="00FF590B" w:rsidTr="00AF0147">
        <w:tc>
          <w:tcPr>
            <w:tcW w:w="4647" w:type="dxa"/>
          </w:tcPr>
          <w:p w:rsidR="00B34902" w:rsidRPr="00FF590B" w:rsidRDefault="00B34902" w:rsidP="00AF014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 xml:space="preserve">Городские соревнования «Веселые старты» </w:t>
            </w:r>
          </w:p>
        </w:tc>
        <w:tc>
          <w:tcPr>
            <w:tcW w:w="4640" w:type="dxa"/>
          </w:tcPr>
          <w:p w:rsidR="00B34902" w:rsidRPr="00FF590B" w:rsidRDefault="00B34902" w:rsidP="00AF014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Диплом участника</w:t>
            </w:r>
          </w:p>
        </w:tc>
      </w:tr>
      <w:tr w:rsidR="00B34902" w:rsidRPr="00FF590B" w:rsidTr="00AF0147">
        <w:tc>
          <w:tcPr>
            <w:tcW w:w="4647" w:type="dxa"/>
          </w:tcPr>
          <w:p w:rsidR="00B34902" w:rsidRPr="00FF590B" w:rsidRDefault="00B34902" w:rsidP="00AF014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Городские соревнования «Веселые старты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на воде» </w:t>
            </w:r>
          </w:p>
        </w:tc>
        <w:tc>
          <w:tcPr>
            <w:tcW w:w="4640" w:type="dxa"/>
          </w:tcPr>
          <w:p w:rsidR="00B34902" w:rsidRPr="008C79B6" w:rsidRDefault="00B34902" w:rsidP="00AF014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val="en-US" w:eastAsia="ru-RU"/>
              </w:rPr>
              <w:t xml:space="preserve">II </w:t>
            </w:r>
            <w:r>
              <w:rPr>
                <w:rFonts w:ascii="Calibri" w:eastAsia="Calibri" w:hAnsi="Calibri" w:cs="Times New Roman"/>
                <w:lang w:eastAsia="ru-RU"/>
              </w:rPr>
              <w:t>место</w:t>
            </w:r>
          </w:p>
        </w:tc>
      </w:tr>
      <w:tr w:rsidR="00B34902" w:rsidRPr="00FF590B" w:rsidTr="00AF0147">
        <w:tc>
          <w:tcPr>
            <w:tcW w:w="4647" w:type="dxa"/>
          </w:tcPr>
          <w:p w:rsidR="00B34902" w:rsidRPr="00FF590B" w:rsidRDefault="00B34902" w:rsidP="00AF014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Городские соревнования «Папа, мама, я – спортивная семья»</w:t>
            </w:r>
          </w:p>
        </w:tc>
        <w:tc>
          <w:tcPr>
            <w:tcW w:w="4640" w:type="dxa"/>
          </w:tcPr>
          <w:p w:rsidR="00B34902" w:rsidRPr="00FF590B" w:rsidRDefault="00B34902" w:rsidP="00AF014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 w:rsidRPr="00FF590B">
              <w:rPr>
                <w:rFonts w:ascii="Calibri" w:eastAsia="Calibri" w:hAnsi="Calibri" w:cs="Times New Roman"/>
                <w:lang w:eastAsia="ru-RU"/>
              </w:rPr>
              <w:t>Диплом участника</w:t>
            </w:r>
          </w:p>
        </w:tc>
      </w:tr>
      <w:tr w:rsidR="00B34902" w:rsidRPr="00FF590B" w:rsidTr="00AF0147">
        <w:tc>
          <w:tcPr>
            <w:tcW w:w="4647" w:type="dxa"/>
          </w:tcPr>
          <w:p w:rsidR="00B34902" w:rsidRPr="00FF590B" w:rsidRDefault="00B34902" w:rsidP="00AF014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Фестиваль «Радуга талантов»</w:t>
            </w:r>
          </w:p>
        </w:tc>
        <w:tc>
          <w:tcPr>
            <w:tcW w:w="4640" w:type="dxa"/>
          </w:tcPr>
          <w:p w:rsidR="00B34902" w:rsidRPr="00FF590B" w:rsidRDefault="00B34902" w:rsidP="00AF014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Диплом участника</w:t>
            </w:r>
          </w:p>
        </w:tc>
      </w:tr>
      <w:tr w:rsidR="00B34902" w:rsidRPr="00FF590B" w:rsidTr="00AF0147">
        <w:tc>
          <w:tcPr>
            <w:tcW w:w="4647" w:type="dxa"/>
          </w:tcPr>
          <w:p w:rsidR="00B34902" w:rsidRPr="00FF590B" w:rsidRDefault="00B34902" w:rsidP="00AF014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lang w:eastAsia="ru-RU"/>
              </w:rPr>
              <w:t>Фестиваль самодеятельного творчества педагогов</w:t>
            </w:r>
          </w:p>
        </w:tc>
        <w:tc>
          <w:tcPr>
            <w:tcW w:w="4640" w:type="dxa"/>
          </w:tcPr>
          <w:p w:rsidR="00B34902" w:rsidRPr="00FF590B" w:rsidRDefault="00B34902" w:rsidP="00AF0147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анкетирования родителей воспитанников ДОУ позволил установить деятельность ДОУ частично (78%) отвечает запросам родителей, качество образовательных услуг в основном  их устраивает (69%)</w:t>
      </w:r>
    </w:p>
    <w:p w:rsid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результатов деятельности ДОУ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определены перспективы дальнейшего развития дошкольного образования:</w:t>
      </w: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*повышение качества дошкольного образования за счёт модернизации технологий дошкольного образования. Совершенствование форм и методов работы по развитию речи детей дошкольного возраста;</w:t>
      </w: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*усиление внимания к раннему развитию детей, что позволит  снизить количество детей,  нуждающихся в коррекционном обучении;</w:t>
      </w: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*профилактическое предупреждение трудностей в адаптац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воспитании и обучении детей</w:t>
      </w: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*продолжать работу по проведению Дней открытых дверей, мастер-классов для родителей, организации специальных клубов, лекториев;</w:t>
      </w: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2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*создавать условия для физического развития детей и снижению заболеваемости через комплексное решение физкультурно-оздоровительных задач в содружестве с педагогами, медицинскими работниками и родителями.</w:t>
      </w:r>
    </w:p>
    <w:p w:rsidR="00B34902" w:rsidRPr="00B34902" w:rsidRDefault="00B34902" w:rsidP="00B3490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проведённого анализа образовательной деятельности, выявленных проблем образовательного процесса, концепции и программы развития ДОУ коллектив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ставит перед собой </w:t>
      </w:r>
      <w:r w:rsidRPr="00FF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FC2" w:rsidRPr="00FF590B" w:rsidRDefault="00A06FC2" w:rsidP="0043184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Обеспечить речевое развитие</w:t>
      </w:r>
      <w:r w:rsidR="0043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3184A" w:rsidRPr="004318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реализации</w:t>
      </w:r>
      <w:r w:rsidR="0043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84A" w:rsidRPr="0043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ДОУ </w:t>
      </w: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возрастных категорий воспитанников.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Совершенствовать и  обогащать знания педагогов по использованию </w:t>
      </w:r>
      <w:proofErr w:type="spellStart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работе  с детьми.</w:t>
      </w:r>
    </w:p>
    <w:p w:rsidR="00A06FC2" w:rsidRPr="00FF590B" w:rsidRDefault="00A06FC2" w:rsidP="00A06FC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3" w:rsidRPr="0043184A" w:rsidRDefault="00A06FC2" w:rsidP="0043184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Создавать условия для освоения и качественной реализации педагогами Федерального государственного стандарта дошкольного образования.</w:t>
      </w:r>
    </w:p>
    <w:sectPr w:rsidR="003A6923" w:rsidRPr="0043184A" w:rsidSect="004A0BA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13C5"/>
    <w:multiLevelType w:val="hybridMultilevel"/>
    <w:tmpl w:val="5418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C7989"/>
    <w:multiLevelType w:val="hybridMultilevel"/>
    <w:tmpl w:val="9E8A8736"/>
    <w:lvl w:ilvl="0" w:tplc="72E41D6A">
      <w:numFmt w:val="bullet"/>
      <w:lvlText w:val=""/>
      <w:lvlJc w:val="left"/>
      <w:pPr>
        <w:ind w:left="16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F6684D"/>
    <w:multiLevelType w:val="hybridMultilevel"/>
    <w:tmpl w:val="DD8AA686"/>
    <w:lvl w:ilvl="0" w:tplc="72E41D6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2"/>
    <w:rsid w:val="000125F5"/>
    <w:rsid w:val="000B19EE"/>
    <w:rsid w:val="00255E94"/>
    <w:rsid w:val="00272579"/>
    <w:rsid w:val="00391437"/>
    <w:rsid w:val="003A6923"/>
    <w:rsid w:val="003B18D4"/>
    <w:rsid w:val="003F0F71"/>
    <w:rsid w:val="00427088"/>
    <w:rsid w:val="0043184A"/>
    <w:rsid w:val="00440A40"/>
    <w:rsid w:val="004A0BA6"/>
    <w:rsid w:val="004D038B"/>
    <w:rsid w:val="00565B18"/>
    <w:rsid w:val="005E1B87"/>
    <w:rsid w:val="00883FAA"/>
    <w:rsid w:val="008C70C9"/>
    <w:rsid w:val="008C79B6"/>
    <w:rsid w:val="008E67FB"/>
    <w:rsid w:val="009C3DD3"/>
    <w:rsid w:val="00A06FC2"/>
    <w:rsid w:val="00A173C0"/>
    <w:rsid w:val="00A45917"/>
    <w:rsid w:val="00A50208"/>
    <w:rsid w:val="00A54FB7"/>
    <w:rsid w:val="00AA035D"/>
    <w:rsid w:val="00AC4282"/>
    <w:rsid w:val="00B34902"/>
    <w:rsid w:val="00B57779"/>
    <w:rsid w:val="00B7150C"/>
    <w:rsid w:val="00BB7CEE"/>
    <w:rsid w:val="00BE4ECA"/>
    <w:rsid w:val="00CA66B7"/>
    <w:rsid w:val="00CF3077"/>
    <w:rsid w:val="00D27521"/>
    <w:rsid w:val="00F40141"/>
    <w:rsid w:val="00FB2870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F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F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ex\Desktop\&#1084;&#1072;&#1084;&#1072;\&#1087;&#1077;&#1076;&#1072;&#1075;&#1086;&#1075;&#1080;\&#1083;&#1086;&#1075;&#1086;&#1087;&#1077;&#1076;&#1099;\&#1054;&#1090;&#1095;&#1105;&#1090;%20&#1079;&#1072;%202014%20-%202015%20&#1075;&#1086;&#1076;\&#1055;&#1088;&#1080;&#1083;&#1086;&#1078;&#1077;&#1085;&#1080;&#1077;%20&#1082;%20&#1086;&#1090;&#1095;&#1077;&#1090;&#1091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2"/>
      <c:hPercent val="52"/>
      <c:rotY val="2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493438320209973E-2"/>
          <c:y val="5.2356020942408377E-2"/>
          <c:w val="0.89763779527559051"/>
          <c:h val="0.643979057591622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окт.14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FF00FF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69</c:v>
                </c:pt>
                <c:pt idx="1">
                  <c:v>32</c:v>
                </c:pt>
                <c:pt idx="2">
                  <c:v>69</c:v>
                </c:pt>
                <c:pt idx="3">
                  <c:v>53</c:v>
                </c:pt>
                <c:pt idx="4">
                  <c:v>70</c:v>
                </c:pt>
                <c:pt idx="5">
                  <c:v>67</c:v>
                </c:pt>
                <c:pt idx="6">
                  <c:v>50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май.15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90</c:v>
                </c:pt>
                <c:pt idx="1">
                  <c:v>39</c:v>
                </c:pt>
                <c:pt idx="2">
                  <c:v>75</c:v>
                </c:pt>
                <c:pt idx="3">
                  <c:v>65</c:v>
                </c:pt>
                <c:pt idx="4">
                  <c:v>77</c:v>
                </c:pt>
                <c:pt idx="5">
                  <c:v>74</c:v>
                </c:pt>
                <c:pt idx="6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динамика 2014-2015у.г. (%)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21</c:v>
                </c:pt>
                <c:pt idx="1">
                  <c:v>7</c:v>
                </c:pt>
                <c:pt idx="2">
                  <c:v>6</c:v>
                </c:pt>
                <c:pt idx="3">
                  <c:v>12</c:v>
                </c:pt>
                <c:pt idx="4">
                  <c:v>7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сен.15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86</c:v>
                </c:pt>
                <c:pt idx="1">
                  <c:v>37</c:v>
                </c:pt>
                <c:pt idx="2">
                  <c:v>73</c:v>
                </c:pt>
                <c:pt idx="3">
                  <c:v>54</c:v>
                </c:pt>
                <c:pt idx="4">
                  <c:v>70</c:v>
                </c:pt>
                <c:pt idx="5">
                  <c:v>71</c:v>
                </c:pt>
                <c:pt idx="6">
                  <c:v>53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май.16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100</c:v>
                </c:pt>
                <c:pt idx="1">
                  <c:v>48</c:v>
                </c:pt>
                <c:pt idx="2">
                  <c:v>95</c:v>
                </c:pt>
                <c:pt idx="3">
                  <c:v>94</c:v>
                </c:pt>
                <c:pt idx="4">
                  <c:v>89</c:v>
                </c:pt>
                <c:pt idx="5">
                  <c:v>95</c:v>
                </c:pt>
                <c:pt idx="6">
                  <c:v>82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динамика 2015-2016у.г. (%)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Артикуляционная моторика</c:v>
                </c:pt>
                <c:pt idx="1">
                  <c:v>2 Фонематическое восприятие</c:v>
                </c:pt>
                <c:pt idx="2">
                  <c:v>3  Звуко-произношение</c:v>
                </c:pt>
                <c:pt idx="3">
                  <c:v>4 Звуко-слоговая структура слова</c:v>
                </c:pt>
                <c:pt idx="4">
                  <c:v>5 Грамматический сторой речи</c:v>
                </c:pt>
                <c:pt idx="5">
                  <c:v>6 Словарь и словообразование</c:v>
                </c:pt>
                <c:pt idx="6">
                  <c:v>7 Связная речь</c:v>
                </c:pt>
              </c:strCache>
            </c:strRef>
          </c:cat>
          <c:val>
            <c:numRef>
              <c:f>Sheet1!$B$7:$H$7</c:f>
              <c:numCache>
                <c:formatCode>General</c:formatCode>
                <c:ptCount val="7"/>
                <c:pt idx="0">
                  <c:v>14</c:v>
                </c:pt>
                <c:pt idx="1">
                  <c:v>11</c:v>
                </c:pt>
                <c:pt idx="2">
                  <c:v>22</c:v>
                </c:pt>
                <c:pt idx="3">
                  <c:v>40</c:v>
                </c:pt>
                <c:pt idx="4">
                  <c:v>19</c:v>
                </c:pt>
                <c:pt idx="5">
                  <c:v>24</c:v>
                </c:pt>
                <c:pt idx="6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8304128"/>
        <c:axId val="158305664"/>
        <c:axId val="0"/>
      </c:bar3DChart>
      <c:catAx>
        <c:axId val="15830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8305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305664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8304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4645669291338588"/>
          <c:y val="5.4973821989528798E-2"/>
          <c:w val="0.15354330708661418"/>
          <c:h val="0.9190319348882651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09678359090003"/>
          <c:y val="0.27732793522267207"/>
          <c:w val="0.53864797828915012"/>
          <c:h val="0.65587044534412953"/>
        </c:manualLayout>
      </c:layout>
      <c:barChart>
        <c:barDir val="col"/>
        <c:grouping val="clustered"/>
        <c:varyColors val="0"/>
        <c:ser>
          <c:idx val="0"/>
          <c:order val="0"/>
          <c:tx>
            <c:v>Сентябрь 2015 года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51</c:v>
              </c:pt>
            </c:numLit>
          </c:val>
        </c:ser>
        <c:ser>
          <c:idx val="1"/>
          <c:order val="1"/>
          <c:tx>
            <c:v>Май 2016 года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75</c:v>
              </c:pt>
            </c:numLit>
          </c:val>
        </c:ser>
        <c:ser>
          <c:idx val="3"/>
          <c:order val="2"/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4"/>
          <c:order val="3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44</c:v>
              </c:pt>
            </c:numLit>
          </c:val>
        </c:ser>
        <c:ser>
          <c:idx val="5"/>
          <c:order val="4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57</c:v>
              </c:pt>
            </c:numLit>
          </c:val>
        </c:ser>
        <c:ser>
          <c:idx val="7"/>
          <c:order val="5"/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8"/>
          <c:order val="6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53</c:v>
              </c:pt>
            </c:numLit>
          </c:val>
        </c:ser>
        <c:ser>
          <c:idx val="9"/>
          <c:order val="7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74</c:v>
              </c:pt>
            </c:numLit>
          </c:val>
        </c:ser>
        <c:ser>
          <c:idx val="11"/>
          <c:order val="8"/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12"/>
          <c:order val="9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72</c:v>
              </c:pt>
            </c:numLit>
          </c:val>
        </c:ser>
        <c:ser>
          <c:idx val="13"/>
          <c:order val="10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87</c:v>
              </c:pt>
            </c:numLit>
          </c:val>
        </c:ser>
        <c:ser>
          <c:idx val="15"/>
          <c:order val="11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16"/>
          <c:order val="12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44</c:v>
              </c:pt>
            </c:numLit>
          </c:val>
        </c:ser>
        <c:ser>
          <c:idx val="17"/>
          <c:order val="13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60</c:v>
              </c:pt>
            </c:numLit>
          </c:val>
        </c:ser>
        <c:ser>
          <c:idx val="19"/>
          <c:order val="14"/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20"/>
          <c:order val="15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69</c:v>
              </c:pt>
            </c:numLit>
          </c:val>
        </c:ser>
        <c:ser>
          <c:idx val="21"/>
          <c:order val="16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84</c:v>
              </c:pt>
            </c:numLit>
          </c:val>
        </c:ser>
        <c:ser>
          <c:idx val="23"/>
          <c:order val="17"/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24"/>
          <c:order val="18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48</c:v>
              </c:pt>
            </c:numLit>
          </c:val>
        </c:ser>
        <c:ser>
          <c:idx val="25"/>
          <c:order val="19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66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396928"/>
        <c:axId val="158286976"/>
      </c:barChart>
      <c:catAx>
        <c:axId val="156396928"/>
        <c:scaling>
          <c:orientation val="minMax"/>
        </c:scaling>
        <c:delete val="1"/>
        <c:axPos val="b"/>
        <c:majorTickMark val="out"/>
        <c:minorTickMark val="none"/>
        <c:tickLblPos val="nextTo"/>
        <c:crossAx val="158286976"/>
        <c:crosses val="autoZero"/>
        <c:auto val="1"/>
        <c:lblAlgn val="ctr"/>
        <c:lblOffset val="100"/>
        <c:noMultiLvlLbl val="0"/>
      </c:catAx>
      <c:valAx>
        <c:axId val="1582869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Проценты (%)</a:t>
                </a:r>
              </a:p>
            </c:rich>
          </c:tx>
          <c:layout>
            <c:manualLayout>
              <c:xMode val="edge"/>
              <c:yMode val="edge"/>
              <c:x val="1.932367149758454E-2"/>
              <c:y val="0.439271255060728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3969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egendEntry>
        <c:idx val="13"/>
        <c:delete val="1"/>
      </c:legendEntry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ayout>
        <c:manualLayout>
          <c:xMode val="edge"/>
          <c:yMode val="edge"/>
          <c:x val="0.69934234454696809"/>
          <c:y val="0.30676776514046855"/>
          <c:w val="0.2983095591311955"/>
          <c:h val="0.564827302570084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6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7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6426</Words>
  <Characters>36630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cp:lastPrinted>2016-06-02T02:50:00Z</cp:lastPrinted>
  <dcterms:created xsi:type="dcterms:W3CDTF">2016-07-11T06:36:00Z</dcterms:created>
  <dcterms:modified xsi:type="dcterms:W3CDTF">2016-08-03T06:57:00Z</dcterms:modified>
</cp:coreProperties>
</file>